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817B56" w14:textId="77777777" w:rsidR="00626306" w:rsidRDefault="00E71DDD" w:rsidP="00BC1FEB">
      <w:pPr>
        <w:pStyle w:val="Title1"/>
      </w:pPr>
      <w:r>
        <w:t xml:space="preserve">Density and Viscosity Matched </w:t>
      </w:r>
      <w:r w:rsidR="004F3783" w:rsidRPr="004F3783">
        <w:t xml:space="preserve">Newtonian and non-Newtonian </w:t>
      </w:r>
      <w:r>
        <w:t>Blood-Analog Solution</w:t>
      </w:r>
      <w:r w:rsidR="004F3783">
        <w:t>s</w:t>
      </w:r>
      <w:r>
        <w:t xml:space="preserve"> with PDMS Refractive Index</w:t>
      </w:r>
    </w:p>
    <w:p w14:paraId="0B799E93" w14:textId="14C4F12A" w:rsidR="00FF294D" w:rsidRPr="00FF294D" w:rsidRDefault="00B53100" w:rsidP="00FF294D">
      <w:pPr>
        <w:pStyle w:val="author"/>
        <w:outlineLvl w:val="0"/>
        <w:rPr>
          <w:vertAlign w:val="superscript"/>
        </w:rPr>
      </w:pPr>
      <w:r>
        <w:t>Melissa C. Brindise</w:t>
      </w:r>
      <w:r w:rsidR="00F57201">
        <w:t>,</w:t>
      </w:r>
      <w:r w:rsidR="00F57201">
        <w:rPr>
          <w:vertAlign w:val="superscript"/>
        </w:rPr>
        <w:t>1</w:t>
      </w:r>
      <w:r w:rsidR="008506E0">
        <w:rPr>
          <w:vertAlign w:val="superscript"/>
        </w:rPr>
        <w:t>*</w:t>
      </w:r>
      <w:r w:rsidR="00F57201">
        <w:t xml:space="preserve"> Margaret M. Busse,</w:t>
      </w:r>
      <w:r w:rsidR="00F57201">
        <w:rPr>
          <w:vertAlign w:val="superscript"/>
        </w:rPr>
        <w:t>2</w:t>
      </w:r>
      <w:r w:rsidR="008506E0">
        <w:rPr>
          <w:vertAlign w:val="superscript"/>
        </w:rPr>
        <w:t>*</w:t>
      </w:r>
      <w:r w:rsidR="00F57201">
        <w:t xml:space="preserve"> </w:t>
      </w:r>
      <w:r>
        <w:t>and</w:t>
      </w:r>
      <w:r w:rsidR="00626306">
        <w:t xml:space="preserve"> </w:t>
      </w:r>
      <w:proofErr w:type="spellStart"/>
      <w:r w:rsidR="00626306">
        <w:t>Pavlos</w:t>
      </w:r>
      <w:proofErr w:type="spellEnd"/>
      <w:r w:rsidR="00626306">
        <w:t xml:space="preserve"> P. Vlachos</w:t>
      </w:r>
      <w:r w:rsidR="00F57201">
        <w:rPr>
          <w:vertAlign w:val="superscript"/>
        </w:rPr>
        <w:t>1</w:t>
      </w:r>
    </w:p>
    <w:p w14:paraId="3134A121" w14:textId="38756A3E" w:rsidR="00FF294D" w:rsidRPr="00FF294D" w:rsidRDefault="00FF294D" w:rsidP="00FF294D">
      <w:pPr>
        <w:pStyle w:val="fax"/>
        <w:ind w:left="90" w:hanging="90"/>
        <w:rPr>
          <w:i/>
          <w:sz w:val="24"/>
          <w:szCs w:val="24"/>
        </w:rPr>
      </w:pPr>
      <w:r>
        <w:rPr>
          <w:i/>
          <w:sz w:val="24"/>
          <w:szCs w:val="24"/>
          <w:vertAlign w:val="superscript"/>
        </w:rPr>
        <w:t>*</w:t>
      </w:r>
      <w:r>
        <w:rPr>
          <w:i/>
          <w:sz w:val="24"/>
          <w:szCs w:val="24"/>
        </w:rPr>
        <w:t>Authors contributed equally to this work</w:t>
      </w:r>
    </w:p>
    <w:p w14:paraId="4A153A99" w14:textId="27638D68" w:rsidR="00626306" w:rsidRDefault="00F57201" w:rsidP="0081672E">
      <w:pPr>
        <w:pStyle w:val="affiliation"/>
      </w:pPr>
      <w:r>
        <w:rPr>
          <w:vertAlign w:val="superscript"/>
        </w:rPr>
        <w:t>1</w:t>
      </w:r>
      <w:r w:rsidR="00626306">
        <w:t>School of Mechanical Engineering, Purdue Univ</w:t>
      </w:r>
      <w:r w:rsidR="0081672E">
        <w:t>ersity, West Lafayette, IN</w:t>
      </w:r>
    </w:p>
    <w:p w14:paraId="2B75EB7B" w14:textId="77777777" w:rsidR="00F57201" w:rsidRDefault="00F57201" w:rsidP="00F57201">
      <w:pPr>
        <w:pStyle w:val="phone"/>
        <w:rPr>
          <w:i/>
          <w:sz w:val="24"/>
          <w:szCs w:val="24"/>
        </w:rPr>
      </w:pPr>
      <w:r>
        <w:rPr>
          <w:i/>
          <w:sz w:val="24"/>
          <w:szCs w:val="24"/>
          <w:vertAlign w:val="superscript"/>
        </w:rPr>
        <w:t>2</w:t>
      </w:r>
      <w:r>
        <w:rPr>
          <w:i/>
          <w:sz w:val="24"/>
          <w:szCs w:val="24"/>
        </w:rPr>
        <w:t>Lyles School of Civil Engineering, Purdue University, West Lafayette, IN</w:t>
      </w:r>
    </w:p>
    <w:p w14:paraId="1ABEAE53" w14:textId="77777777" w:rsidR="00626306" w:rsidRDefault="00626306" w:rsidP="00626306">
      <w:pPr>
        <w:pStyle w:val="phone"/>
      </w:pPr>
    </w:p>
    <w:p w14:paraId="20325B94" w14:textId="77777777" w:rsidR="0081672E" w:rsidRDefault="0081672E" w:rsidP="00626306">
      <w:pPr>
        <w:pStyle w:val="email"/>
      </w:pPr>
      <w:r>
        <w:t>Corresponding Author:</w:t>
      </w:r>
    </w:p>
    <w:p w14:paraId="46F003CC" w14:textId="77777777" w:rsidR="0081672E" w:rsidRDefault="0081672E" w:rsidP="00626306">
      <w:pPr>
        <w:pStyle w:val="email"/>
      </w:pPr>
      <w:proofErr w:type="spellStart"/>
      <w:r>
        <w:t>Pavlos</w:t>
      </w:r>
      <w:proofErr w:type="spellEnd"/>
      <w:r>
        <w:t xml:space="preserve"> P. Vlachos</w:t>
      </w:r>
    </w:p>
    <w:p w14:paraId="00CE8A72" w14:textId="77777777" w:rsidR="00626306" w:rsidRDefault="0081672E" w:rsidP="00891EB2">
      <w:pPr>
        <w:pStyle w:val="email"/>
        <w:outlineLvl w:val="0"/>
      </w:pPr>
      <w:r>
        <w:t xml:space="preserve">Email: </w:t>
      </w:r>
      <w:hyperlink r:id="rId9" w:history="1">
        <w:r w:rsidR="00626306" w:rsidRPr="00B72DC3">
          <w:rPr>
            <w:rStyle w:val="Hyperlink"/>
          </w:rPr>
          <w:t>pvlachos@purdue.edu</w:t>
        </w:r>
      </w:hyperlink>
    </w:p>
    <w:p w14:paraId="0EA1E905" w14:textId="77777777" w:rsidR="0081672E" w:rsidRPr="0081672E" w:rsidRDefault="0081672E" w:rsidP="00891EB2">
      <w:pPr>
        <w:pStyle w:val="url"/>
        <w:outlineLvl w:val="0"/>
      </w:pPr>
      <w:r>
        <w:t xml:space="preserve">Address: 585 Purdue Mall, West Lafayette, IN, 47907 </w:t>
      </w:r>
    </w:p>
    <w:p w14:paraId="747521BB" w14:textId="77777777" w:rsidR="00626306" w:rsidRDefault="00626306" w:rsidP="00626306">
      <w:pPr>
        <w:pStyle w:val="phone"/>
      </w:pPr>
    </w:p>
    <w:p w14:paraId="4C9C0220" w14:textId="77777777" w:rsidR="00626306" w:rsidRDefault="00376A15" w:rsidP="00891EB2">
      <w:pPr>
        <w:pStyle w:val="heading10"/>
        <w:outlineLvl w:val="0"/>
      </w:pPr>
      <w:r>
        <w:t>Abstract</w:t>
      </w:r>
      <w:bookmarkStart w:id="0" w:name="_GoBack"/>
      <w:bookmarkEnd w:id="0"/>
    </w:p>
    <w:p w14:paraId="180A592C" w14:textId="3C473DC0" w:rsidR="00242AF7" w:rsidRPr="008A2954" w:rsidRDefault="00317692" w:rsidP="005622EF">
      <w:pPr>
        <w:pStyle w:val="abstract"/>
        <w:outlineLvl w:val="0"/>
        <w:rPr>
          <w:rFonts w:cs="Arial"/>
        </w:rPr>
      </w:pPr>
      <w:r>
        <w:rPr>
          <w:rFonts w:cs="Arial"/>
        </w:rPr>
        <w:t>Optical imaging</w:t>
      </w:r>
      <w:r w:rsidR="00D82B40">
        <w:rPr>
          <w:rFonts w:cs="Arial"/>
        </w:rPr>
        <w:t xml:space="preserve"> </w:t>
      </w:r>
      <w:r w:rsidR="00F0532D" w:rsidRPr="008A2954">
        <w:rPr>
          <w:rFonts w:cs="Arial"/>
        </w:rPr>
        <w:t xml:space="preserve">is </w:t>
      </w:r>
      <w:r w:rsidR="00D82B40">
        <w:rPr>
          <w:rFonts w:cs="Arial"/>
        </w:rPr>
        <w:t>commonly used</w:t>
      </w:r>
      <w:r w:rsidR="00F0532D" w:rsidRPr="008A2954">
        <w:rPr>
          <w:rFonts w:cs="Arial"/>
        </w:rPr>
        <w:t xml:space="preserve"> to investigate </w:t>
      </w:r>
      <w:r w:rsidR="00242AF7" w:rsidRPr="008A2954">
        <w:rPr>
          <w:rFonts w:cs="Arial"/>
        </w:rPr>
        <w:t xml:space="preserve">biological flows and </w:t>
      </w:r>
      <w:r w:rsidR="00F0532D" w:rsidRPr="008A2954">
        <w:rPr>
          <w:rFonts w:cs="Arial"/>
        </w:rPr>
        <w:t>cardiovascular di</w:t>
      </w:r>
      <w:r w:rsidR="00C230D2">
        <w:rPr>
          <w:rFonts w:cs="Arial"/>
        </w:rPr>
        <w:t xml:space="preserve">sease using compliant </w:t>
      </w:r>
      <w:r w:rsidR="00D82B40">
        <w:rPr>
          <w:rFonts w:cs="Arial"/>
        </w:rPr>
        <w:t>s</w:t>
      </w:r>
      <w:r w:rsidR="00D82B40" w:rsidRPr="008A2954">
        <w:rPr>
          <w:rFonts w:cs="Arial"/>
        </w:rPr>
        <w:t xml:space="preserve">ilicone </w:t>
      </w:r>
      <w:proofErr w:type="spellStart"/>
      <w:r w:rsidR="00D82B40" w:rsidRPr="008A2954">
        <w:rPr>
          <w:rFonts w:cs="Arial"/>
        </w:rPr>
        <w:t>polydimethysiloxane</w:t>
      </w:r>
      <w:proofErr w:type="spellEnd"/>
      <w:r w:rsidR="00D82B40" w:rsidRPr="008A2954">
        <w:rPr>
          <w:rFonts w:cs="Arial"/>
        </w:rPr>
        <w:t xml:space="preserve"> (PDMS) </w:t>
      </w:r>
      <w:proofErr w:type="spellStart"/>
      <w:r w:rsidR="00D82B40" w:rsidRPr="008A2954">
        <w:rPr>
          <w:rFonts w:cs="Arial"/>
        </w:rPr>
        <w:t>Sylgard</w:t>
      </w:r>
      <w:proofErr w:type="spellEnd"/>
      <w:r w:rsidR="00D82B40" w:rsidRPr="008A2954">
        <w:rPr>
          <w:rFonts w:cs="Arial"/>
        </w:rPr>
        <w:t xml:space="preserve"> 184 </w:t>
      </w:r>
      <w:r w:rsidR="00C230D2">
        <w:rPr>
          <w:rFonts w:cs="Arial"/>
        </w:rPr>
        <w:t xml:space="preserve">geometries. However, selecting </w:t>
      </w:r>
      <w:r w:rsidR="00242AF7" w:rsidRPr="008A2954">
        <w:rPr>
          <w:rFonts w:cs="Arial"/>
        </w:rPr>
        <w:t>the working fluid</w:t>
      </w:r>
      <w:r w:rsidR="00D51EB4" w:rsidRPr="008A2954">
        <w:rPr>
          <w:rFonts w:cs="Arial"/>
        </w:rPr>
        <w:t xml:space="preserve"> </w:t>
      </w:r>
      <w:r w:rsidR="00C230D2">
        <w:rPr>
          <w:rFonts w:cs="Arial"/>
        </w:rPr>
        <w:t xml:space="preserve">with blood </w:t>
      </w:r>
      <w:r w:rsidR="00666D8D">
        <w:rPr>
          <w:rFonts w:cs="Arial"/>
        </w:rPr>
        <w:t xml:space="preserve">density and </w:t>
      </w:r>
      <w:r w:rsidR="00C230D2">
        <w:rPr>
          <w:rFonts w:cs="Arial"/>
        </w:rPr>
        <w:t>viscosity, and PDMS index of refraction (RI) for such experiments is challenging. Currently, w</w:t>
      </w:r>
      <w:r w:rsidR="00242AF7" w:rsidRPr="008A2954">
        <w:rPr>
          <w:rFonts w:cs="Arial"/>
        </w:rPr>
        <w:t>ater-glycerol</w:t>
      </w:r>
      <w:r w:rsidR="00D51EB4" w:rsidRPr="008A2954">
        <w:rPr>
          <w:rFonts w:cs="Arial"/>
        </w:rPr>
        <w:t xml:space="preserve"> </w:t>
      </w:r>
      <w:r w:rsidR="00666D8D">
        <w:rPr>
          <w:rFonts w:cs="Arial"/>
        </w:rPr>
        <w:t xml:space="preserve">is </w:t>
      </w:r>
      <w:r w:rsidR="00C357C4">
        <w:rPr>
          <w:rFonts w:cs="Arial"/>
        </w:rPr>
        <w:t>common</w:t>
      </w:r>
      <w:r w:rsidR="00666D8D">
        <w:rPr>
          <w:rFonts w:cs="Arial"/>
        </w:rPr>
        <w:t xml:space="preserve">ly used </w:t>
      </w:r>
      <w:r w:rsidR="00C230D2">
        <w:rPr>
          <w:rFonts w:cs="Arial"/>
        </w:rPr>
        <w:t>and s</w:t>
      </w:r>
      <w:r w:rsidR="00242AF7" w:rsidRPr="008A2954">
        <w:rPr>
          <w:rFonts w:cs="Arial"/>
        </w:rPr>
        <w:t>odium iodide (</w:t>
      </w:r>
      <w:proofErr w:type="spellStart"/>
      <w:r w:rsidR="00242AF7" w:rsidRPr="008A2954">
        <w:rPr>
          <w:rFonts w:cs="Arial"/>
        </w:rPr>
        <w:t>Na</w:t>
      </w:r>
      <w:r w:rsidR="00D82B40">
        <w:rPr>
          <w:rFonts w:cs="Arial"/>
        </w:rPr>
        <w:t>I</w:t>
      </w:r>
      <w:proofErr w:type="spellEnd"/>
      <w:r w:rsidR="00D82B40">
        <w:rPr>
          <w:rFonts w:cs="Arial"/>
        </w:rPr>
        <w:t xml:space="preserve">) </w:t>
      </w:r>
      <w:r w:rsidR="00666D8D">
        <w:rPr>
          <w:rFonts w:cs="Arial"/>
        </w:rPr>
        <w:t>often</w:t>
      </w:r>
      <w:r w:rsidR="00D82B40">
        <w:rPr>
          <w:rFonts w:cs="Arial"/>
        </w:rPr>
        <w:t xml:space="preserve"> added to </w:t>
      </w:r>
      <w:r w:rsidR="00D51EB4" w:rsidRPr="008A2954">
        <w:rPr>
          <w:rFonts w:cs="Arial"/>
        </w:rPr>
        <w:t xml:space="preserve">increase the index of refraction without changing </w:t>
      </w:r>
      <w:r w:rsidR="00D82B40">
        <w:rPr>
          <w:rFonts w:cs="Arial"/>
        </w:rPr>
        <w:t>fluid viscosity</w:t>
      </w:r>
      <w:r w:rsidR="00C230D2">
        <w:rPr>
          <w:rFonts w:cs="Arial"/>
        </w:rPr>
        <w:t xml:space="preserve">. But </w:t>
      </w:r>
      <w:r w:rsidR="00666D8D">
        <w:rPr>
          <w:rFonts w:cs="Arial"/>
        </w:rPr>
        <w:t xml:space="preserve">the </w:t>
      </w:r>
      <w:r w:rsidR="00C230D2">
        <w:rPr>
          <w:rFonts w:cs="Arial"/>
        </w:rPr>
        <w:t>result</w:t>
      </w:r>
      <w:r w:rsidR="00666D8D">
        <w:rPr>
          <w:rFonts w:cs="Arial"/>
        </w:rPr>
        <w:t xml:space="preserve">ing </w:t>
      </w:r>
      <w:r w:rsidR="00D82B40">
        <w:rPr>
          <w:rFonts w:cs="Arial"/>
        </w:rPr>
        <w:t>fluid density</w:t>
      </w:r>
      <w:r w:rsidR="00666D8D">
        <w:rPr>
          <w:rFonts w:cs="Arial"/>
        </w:rPr>
        <w:t xml:space="preserve"> is</w:t>
      </w:r>
      <w:r w:rsidR="00C230D2">
        <w:rPr>
          <w:rFonts w:cs="Arial"/>
        </w:rPr>
        <w:t xml:space="preserve"> well above blood</w:t>
      </w:r>
      <w:r w:rsidR="009042CA">
        <w:rPr>
          <w:rFonts w:cs="Arial"/>
        </w:rPr>
        <w:t xml:space="preserve">. Moreover, </w:t>
      </w:r>
      <w:proofErr w:type="spellStart"/>
      <w:r w:rsidR="00C230D2">
        <w:rPr>
          <w:rFonts w:cs="Arial"/>
        </w:rPr>
        <w:t>NaI</w:t>
      </w:r>
      <w:proofErr w:type="spellEnd"/>
      <w:r w:rsidR="00C230D2">
        <w:rPr>
          <w:rFonts w:cs="Arial"/>
        </w:rPr>
        <w:t xml:space="preserve"> </w:t>
      </w:r>
      <w:r w:rsidR="00D82B40">
        <w:rPr>
          <w:rFonts w:cs="Arial"/>
        </w:rPr>
        <w:t>is</w:t>
      </w:r>
      <w:r w:rsidR="00D51EB4" w:rsidRPr="008A2954">
        <w:rPr>
          <w:rFonts w:cs="Arial"/>
        </w:rPr>
        <w:t xml:space="preserve"> expensive</w:t>
      </w:r>
      <w:r>
        <w:rPr>
          <w:rFonts w:cs="Arial"/>
        </w:rPr>
        <w:t>, has</w:t>
      </w:r>
      <w:r w:rsidR="00D51EB4" w:rsidRPr="008A2954">
        <w:rPr>
          <w:rFonts w:cs="Arial"/>
        </w:rPr>
        <w:t xml:space="preserve"> safety </w:t>
      </w:r>
      <w:r>
        <w:rPr>
          <w:rFonts w:cs="Arial"/>
        </w:rPr>
        <w:t xml:space="preserve">and </w:t>
      </w:r>
      <w:r w:rsidR="00AB328C">
        <w:rPr>
          <w:rFonts w:cs="Arial"/>
        </w:rPr>
        <w:t xml:space="preserve">material </w:t>
      </w:r>
      <w:r>
        <w:rPr>
          <w:rFonts w:cs="Arial"/>
        </w:rPr>
        <w:t>discoloration</w:t>
      </w:r>
      <w:r w:rsidR="00AB328C">
        <w:rPr>
          <w:rFonts w:cs="Arial"/>
        </w:rPr>
        <w:t xml:space="preserve"> </w:t>
      </w:r>
      <w:r w:rsidR="00D51EB4" w:rsidRPr="008A2954">
        <w:rPr>
          <w:rFonts w:cs="Arial"/>
        </w:rPr>
        <w:t xml:space="preserve">concerns, </w:t>
      </w:r>
      <w:r w:rsidR="00AB328C">
        <w:rPr>
          <w:rFonts w:cs="Arial"/>
        </w:rPr>
        <w:t xml:space="preserve">and </w:t>
      </w:r>
      <w:r w:rsidR="00EF78B6">
        <w:rPr>
          <w:rFonts w:cs="Arial"/>
        </w:rPr>
        <w:t>has been reported</w:t>
      </w:r>
      <w:r w:rsidR="008A2954" w:rsidRPr="008A2954">
        <w:rPr>
          <w:rFonts w:cs="Arial"/>
        </w:rPr>
        <w:t xml:space="preserve"> to affect non-Newtonian fluid behavior</w:t>
      </w:r>
      <w:r w:rsidR="00D51EB4" w:rsidRPr="008A2954">
        <w:rPr>
          <w:rFonts w:cs="Arial"/>
        </w:rPr>
        <w:t xml:space="preserve">. </w:t>
      </w:r>
      <w:r w:rsidR="00C230D2">
        <w:rPr>
          <w:rFonts w:cs="Arial"/>
        </w:rPr>
        <w:t>Here</w:t>
      </w:r>
      <w:r w:rsidR="00D82B40">
        <w:rPr>
          <w:rFonts w:cs="Arial"/>
        </w:rPr>
        <w:t xml:space="preserve">, we present a new blood analog </w:t>
      </w:r>
      <w:r w:rsidR="009042CA">
        <w:rPr>
          <w:rFonts w:cs="Arial"/>
        </w:rPr>
        <w:t xml:space="preserve">alternative based on </w:t>
      </w:r>
      <w:r w:rsidR="008A2954" w:rsidRPr="008A2954">
        <w:rPr>
          <w:rFonts w:cs="Arial"/>
        </w:rPr>
        <w:t>urea</w:t>
      </w:r>
      <w:r w:rsidR="009042CA">
        <w:rPr>
          <w:rFonts w:cs="Arial"/>
        </w:rPr>
        <w:t>. Urea</w:t>
      </w:r>
      <w:r w:rsidR="008A2954" w:rsidRPr="008A2954">
        <w:rPr>
          <w:rFonts w:cs="Arial"/>
        </w:rPr>
        <w:t xml:space="preserve"> is </w:t>
      </w:r>
      <w:r w:rsidR="009042CA">
        <w:rPr>
          <w:rFonts w:cs="Arial"/>
        </w:rPr>
        <w:t>approximately</w:t>
      </w:r>
      <w:r w:rsidR="009042CA" w:rsidRPr="008A2954">
        <w:rPr>
          <w:rFonts w:cs="Arial"/>
        </w:rPr>
        <w:t xml:space="preserve"> </w:t>
      </w:r>
      <w:r w:rsidR="003E00BF">
        <w:rPr>
          <w:rFonts w:cs="Arial"/>
        </w:rPr>
        <w:t>five to fifteen times less expensive than</w:t>
      </w:r>
      <w:r w:rsidR="00666D8D">
        <w:rPr>
          <w:rFonts w:cs="Arial"/>
        </w:rPr>
        <w:t xml:space="preserve"> </w:t>
      </w:r>
      <w:proofErr w:type="spellStart"/>
      <w:r w:rsidR="00666D8D">
        <w:rPr>
          <w:rFonts w:cs="Arial"/>
        </w:rPr>
        <w:t>NaI</w:t>
      </w:r>
      <w:proofErr w:type="spellEnd"/>
      <w:r w:rsidR="008A2954" w:rsidRPr="008A2954">
        <w:rPr>
          <w:rFonts w:cs="Arial"/>
        </w:rPr>
        <w:t>, safe</w:t>
      </w:r>
      <w:r w:rsidR="004C6705">
        <w:rPr>
          <w:rFonts w:cs="Arial"/>
        </w:rPr>
        <w:t xml:space="preserve"> and </w:t>
      </w:r>
      <w:r w:rsidR="00666D8D">
        <w:rPr>
          <w:rFonts w:cs="Arial"/>
        </w:rPr>
        <w:t>easy</w:t>
      </w:r>
      <w:r w:rsidR="008A2954" w:rsidRPr="008A2954">
        <w:rPr>
          <w:rFonts w:cs="Arial"/>
        </w:rPr>
        <w:t xml:space="preserve"> to handle,</w:t>
      </w:r>
      <w:r w:rsidR="00F2288B">
        <w:rPr>
          <w:rFonts w:cs="Arial"/>
        </w:rPr>
        <w:t xml:space="preserve"> optically</w:t>
      </w:r>
      <w:r w:rsidR="008A2954" w:rsidRPr="008A2954">
        <w:rPr>
          <w:rFonts w:cs="Arial"/>
        </w:rPr>
        <w:t xml:space="preserve"> clear, and causes no </w:t>
      </w:r>
      <w:r w:rsidR="004C6705">
        <w:rPr>
          <w:rFonts w:cs="Arial"/>
        </w:rPr>
        <w:t>discoloration</w:t>
      </w:r>
      <w:r w:rsidR="008A2954" w:rsidRPr="008A2954">
        <w:rPr>
          <w:rFonts w:cs="Arial"/>
        </w:rPr>
        <w:t xml:space="preserve">. </w:t>
      </w:r>
      <w:r w:rsidR="004C6705">
        <w:rPr>
          <w:rFonts w:cs="Arial"/>
        </w:rPr>
        <w:t>W</w:t>
      </w:r>
      <w:r w:rsidR="008A2954" w:rsidRPr="008A2954">
        <w:rPr>
          <w:rFonts w:cs="Arial"/>
        </w:rPr>
        <w:t>ater-glycerol-urea solution</w:t>
      </w:r>
      <w:r w:rsidR="004C6705">
        <w:rPr>
          <w:rFonts w:cs="Arial"/>
        </w:rPr>
        <w:t>s, unlike</w:t>
      </w:r>
      <w:r w:rsidR="007C1346">
        <w:rPr>
          <w:rFonts w:cs="Arial"/>
        </w:rPr>
        <w:t xml:space="preserve"> </w:t>
      </w:r>
      <w:r w:rsidR="00F2288B">
        <w:rPr>
          <w:rFonts w:cs="Arial"/>
        </w:rPr>
        <w:t>those with</w:t>
      </w:r>
      <w:r w:rsidR="00D82B40">
        <w:rPr>
          <w:rFonts w:cs="Arial"/>
        </w:rPr>
        <w:t xml:space="preserve"> </w:t>
      </w:r>
      <w:proofErr w:type="spellStart"/>
      <w:r w:rsidR="008A2954" w:rsidRPr="008A2954">
        <w:rPr>
          <w:rFonts w:cs="Arial"/>
        </w:rPr>
        <w:t>NaI</w:t>
      </w:r>
      <w:proofErr w:type="spellEnd"/>
      <w:r w:rsidR="008A2954" w:rsidRPr="008A2954">
        <w:rPr>
          <w:rFonts w:cs="Arial"/>
        </w:rPr>
        <w:t>, simultaneously match</w:t>
      </w:r>
      <w:r w:rsidR="00FE5726">
        <w:rPr>
          <w:rFonts w:cs="Arial"/>
        </w:rPr>
        <w:t>ed</w:t>
      </w:r>
      <w:r w:rsidR="008A2954" w:rsidRPr="008A2954">
        <w:rPr>
          <w:rFonts w:cs="Arial"/>
        </w:rPr>
        <w:t xml:space="preserve"> the density and viscosity of blood and RI of PDMS.</w:t>
      </w:r>
      <w:r w:rsidR="00D82B40">
        <w:rPr>
          <w:rFonts w:cs="Arial"/>
        </w:rPr>
        <w:t xml:space="preserve"> </w:t>
      </w:r>
      <w:r w:rsidR="00F77E8D">
        <w:rPr>
          <w:rFonts w:cs="Arial"/>
        </w:rPr>
        <w:t>Water-</w:t>
      </w:r>
      <w:r w:rsidR="00C230D2">
        <w:rPr>
          <w:rFonts w:cs="Arial"/>
        </w:rPr>
        <w:t xml:space="preserve">xylitol and </w:t>
      </w:r>
      <w:r w:rsidR="00F77E8D">
        <w:rPr>
          <w:rFonts w:cs="Arial"/>
        </w:rPr>
        <w:t>w</w:t>
      </w:r>
      <w:r w:rsidR="00410674">
        <w:rPr>
          <w:rFonts w:cs="Arial"/>
        </w:rPr>
        <w:t>ater-xylitol-urea solutions are</w:t>
      </w:r>
      <w:r w:rsidR="00F77E8D">
        <w:rPr>
          <w:rFonts w:cs="Arial"/>
        </w:rPr>
        <w:t xml:space="preserve"> also possible blood analog solutions. </w:t>
      </w:r>
      <w:r w:rsidR="00D1486E">
        <w:rPr>
          <w:rFonts w:cs="Arial"/>
        </w:rPr>
        <w:t>X</w:t>
      </w:r>
      <w:r w:rsidR="004C6705">
        <w:rPr>
          <w:rFonts w:cs="Arial"/>
        </w:rPr>
        <w:t>anthan gum</w:t>
      </w:r>
      <w:r w:rsidR="00FE5726">
        <w:rPr>
          <w:rFonts w:cs="Arial"/>
        </w:rPr>
        <w:t xml:space="preserve"> (XG)</w:t>
      </w:r>
      <w:r w:rsidR="004C6705">
        <w:rPr>
          <w:rFonts w:cs="Arial"/>
        </w:rPr>
        <w:t>-water-glycero</w:t>
      </w:r>
      <w:r w:rsidR="003749F9">
        <w:rPr>
          <w:rFonts w:cs="Arial"/>
        </w:rPr>
        <w:t>l non-Newtonian solutions</w:t>
      </w:r>
      <w:r w:rsidR="004C6705">
        <w:rPr>
          <w:rFonts w:cs="Arial"/>
        </w:rPr>
        <w:t xml:space="preserve"> </w:t>
      </w:r>
      <w:r w:rsidR="002A7F7B">
        <w:rPr>
          <w:rFonts w:cs="Arial"/>
        </w:rPr>
        <w:t>maintained</w:t>
      </w:r>
      <w:r w:rsidR="004C6705">
        <w:rPr>
          <w:rFonts w:cs="Arial"/>
        </w:rPr>
        <w:t xml:space="preserve"> similar viscoelastic properties</w:t>
      </w:r>
      <w:r w:rsidR="00561D88">
        <w:rPr>
          <w:rFonts w:cs="Arial"/>
        </w:rPr>
        <w:t xml:space="preserve"> </w:t>
      </w:r>
      <w:r w:rsidR="00F360AF">
        <w:rPr>
          <w:rFonts w:cs="Arial"/>
        </w:rPr>
        <w:t>through</w:t>
      </w:r>
      <w:r w:rsidR="008A109F">
        <w:rPr>
          <w:rFonts w:cs="Arial"/>
        </w:rPr>
        <w:t>out</w:t>
      </w:r>
      <w:r w:rsidR="00F360AF">
        <w:rPr>
          <w:rFonts w:cs="Arial"/>
        </w:rPr>
        <w:t xml:space="preserve"> the range of weight percent (about 15-25%) </w:t>
      </w:r>
      <w:r w:rsidR="00561D88">
        <w:rPr>
          <w:rFonts w:cs="Arial"/>
        </w:rPr>
        <w:t xml:space="preserve">of urea and </w:t>
      </w:r>
      <w:proofErr w:type="spellStart"/>
      <w:r w:rsidR="00561D88">
        <w:rPr>
          <w:rFonts w:cs="Arial"/>
        </w:rPr>
        <w:t>NaI</w:t>
      </w:r>
      <w:proofErr w:type="spellEnd"/>
      <w:r w:rsidR="008A109F">
        <w:rPr>
          <w:rFonts w:cs="Arial"/>
        </w:rPr>
        <w:t xml:space="preserve"> used here</w:t>
      </w:r>
      <w:r w:rsidR="00FE5726">
        <w:rPr>
          <w:rFonts w:cs="Arial"/>
        </w:rPr>
        <w:t xml:space="preserve">. </w:t>
      </w:r>
      <w:r w:rsidR="00F360AF">
        <w:rPr>
          <w:rFonts w:cs="Arial"/>
        </w:rPr>
        <w:t xml:space="preserve">The </w:t>
      </w:r>
      <w:r w:rsidR="009729B8">
        <w:rPr>
          <w:rFonts w:cs="Arial"/>
        </w:rPr>
        <w:t>results showed</w:t>
      </w:r>
      <w:r w:rsidR="002A7F7B">
        <w:rPr>
          <w:rFonts w:cs="Arial"/>
        </w:rPr>
        <w:t xml:space="preserve"> that</w:t>
      </w:r>
      <w:r w:rsidR="00FE5726">
        <w:rPr>
          <w:rFonts w:cs="Arial"/>
        </w:rPr>
        <w:t xml:space="preserve"> </w:t>
      </w:r>
      <w:r w:rsidR="00F360AF">
        <w:rPr>
          <w:rFonts w:cs="Arial"/>
        </w:rPr>
        <w:t>the</w:t>
      </w:r>
      <w:r w:rsidR="00FE5726">
        <w:rPr>
          <w:rFonts w:cs="Arial"/>
        </w:rPr>
        <w:t xml:space="preserve"> XG weight percent</w:t>
      </w:r>
      <w:r w:rsidR="00F360AF">
        <w:rPr>
          <w:rFonts w:cs="Arial"/>
        </w:rPr>
        <w:t xml:space="preserve"> affected viscoelastic properties more than</w:t>
      </w:r>
      <w:r w:rsidR="00FE5726">
        <w:rPr>
          <w:rFonts w:cs="Arial"/>
        </w:rPr>
        <w:t xml:space="preserve"> the weight percent of urea or </w:t>
      </w:r>
      <w:proofErr w:type="spellStart"/>
      <w:r w:rsidR="00FE5726">
        <w:rPr>
          <w:rFonts w:cs="Arial"/>
        </w:rPr>
        <w:t>NaI</w:t>
      </w:r>
      <w:proofErr w:type="spellEnd"/>
      <w:r w:rsidR="008A109F">
        <w:rPr>
          <w:rFonts w:cs="Arial"/>
        </w:rPr>
        <w:t xml:space="preserve"> tested in this study</w:t>
      </w:r>
      <w:r w:rsidR="004C6705">
        <w:rPr>
          <w:rFonts w:cs="Arial"/>
        </w:rPr>
        <w:t xml:space="preserve">. </w:t>
      </w:r>
      <w:r w:rsidR="00FE5726">
        <w:rPr>
          <w:rFonts w:cs="Arial"/>
        </w:rPr>
        <w:t xml:space="preserve">Overall, we </w:t>
      </w:r>
      <w:r w:rsidR="002A7F7B">
        <w:rPr>
          <w:rFonts w:cs="Arial"/>
        </w:rPr>
        <w:t>demonstrate</w:t>
      </w:r>
      <w:r w:rsidR="00FE5726">
        <w:rPr>
          <w:rFonts w:cs="Arial"/>
        </w:rPr>
        <w:t xml:space="preserve"> u</w:t>
      </w:r>
      <w:r w:rsidR="00D82B40">
        <w:rPr>
          <w:rFonts w:cs="Arial"/>
        </w:rPr>
        <w:t xml:space="preserve">rea </w:t>
      </w:r>
      <w:r w:rsidR="003749F9">
        <w:rPr>
          <w:rFonts w:cs="Arial"/>
        </w:rPr>
        <w:t xml:space="preserve">is useful </w:t>
      </w:r>
      <w:r w:rsidR="00FE5726">
        <w:rPr>
          <w:rFonts w:cs="Arial"/>
        </w:rPr>
        <w:t xml:space="preserve">for PDMS blood analog experiments and </w:t>
      </w:r>
      <w:r w:rsidR="00D82B40">
        <w:rPr>
          <w:rFonts w:cs="Arial"/>
        </w:rPr>
        <w:t xml:space="preserve">should </w:t>
      </w:r>
      <w:r w:rsidR="00FE5726">
        <w:rPr>
          <w:rFonts w:cs="Arial"/>
        </w:rPr>
        <w:t xml:space="preserve">also </w:t>
      </w:r>
      <w:r w:rsidR="000E7D45">
        <w:rPr>
          <w:rFonts w:cs="Arial"/>
        </w:rPr>
        <w:t xml:space="preserve">be considered as </w:t>
      </w:r>
      <w:r w:rsidR="00C25131">
        <w:rPr>
          <w:rFonts w:cs="Arial"/>
        </w:rPr>
        <w:t>an inexpensive</w:t>
      </w:r>
      <w:r w:rsidR="00D82B40">
        <w:rPr>
          <w:rFonts w:cs="Arial"/>
        </w:rPr>
        <w:t xml:space="preserve"> additive</w:t>
      </w:r>
      <w:r w:rsidR="000E7D45">
        <w:rPr>
          <w:rFonts w:cs="Arial"/>
        </w:rPr>
        <w:t>,</w:t>
      </w:r>
      <w:r w:rsidR="000827B3">
        <w:rPr>
          <w:rFonts w:cs="Arial"/>
        </w:rPr>
        <w:t xml:space="preserve"> and </w:t>
      </w:r>
      <w:r w:rsidR="000E7D45">
        <w:rPr>
          <w:rFonts w:cs="Arial"/>
        </w:rPr>
        <w:t xml:space="preserve">an </w:t>
      </w:r>
      <w:r w:rsidR="000827B3">
        <w:rPr>
          <w:rFonts w:cs="Arial"/>
        </w:rPr>
        <w:t xml:space="preserve">alternative to </w:t>
      </w:r>
      <w:proofErr w:type="spellStart"/>
      <w:r w:rsidR="000827B3">
        <w:rPr>
          <w:rFonts w:cs="Arial"/>
        </w:rPr>
        <w:t>NaI</w:t>
      </w:r>
      <w:proofErr w:type="spellEnd"/>
      <w:r w:rsidR="00D82B40">
        <w:rPr>
          <w:rFonts w:cs="Arial"/>
        </w:rPr>
        <w:t>.</w:t>
      </w:r>
    </w:p>
    <w:p w14:paraId="600BB4C4" w14:textId="77777777" w:rsidR="00F70359" w:rsidRPr="00F70359" w:rsidRDefault="00F70359" w:rsidP="00F70359"/>
    <w:p w14:paraId="3C229D7E" w14:textId="77777777" w:rsidR="007142C9" w:rsidRPr="00CF4216" w:rsidRDefault="00626306" w:rsidP="00CF4216">
      <w:pPr>
        <w:pStyle w:val="keywords"/>
        <w:outlineLvl w:val="0"/>
        <w:rPr>
          <w:rFonts w:cs="Arial"/>
        </w:rPr>
      </w:pPr>
      <w:r w:rsidRPr="005B3B5D">
        <w:rPr>
          <w:rFonts w:cs="Arial"/>
        </w:rPr>
        <w:t xml:space="preserve">Keywords: </w:t>
      </w:r>
      <w:r w:rsidR="004F3783">
        <w:rPr>
          <w:rFonts w:cs="Arial"/>
        </w:rPr>
        <w:t>index matching</w:t>
      </w:r>
      <w:r w:rsidR="00F77E8D">
        <w:rPr>
          <w:rFonts w:cs="Arial"/>
        </w:rPr>
        <w:t xml:space="preserve">; blood analog; </w:t>
      </w:r>
      <w:r w:rsidR="00A65154">
        <w:rPr>
          <w:rFonts w:cs="Arial"/>
        </w:rPr>
        <w:t>PDMS</w:t>
      </w:r>
      <w:r w:rsidR="001D03D2">
        <w:rPr>
          <w:rFonts w:cs="Arial"/>
        </w:rPr>
        <w:t xml:space="preserve">; </w:t>
      </w:r>
      <w:r w:rsidR="008509CD">
        <w:rPr>
          <w:rFonts w:cs="Arial"/>
        </w:rPr>
        <w:t>urea; sodium iodide</w:t>
      </w:r>
      <w:r w:rsidR="00467165">
        <w:rPr>
          <w:rFonts w:cs="Arial"/>
        </w:rPr>
        <w:t>.</w:t>
      </w:r>
    </w:p>
    <w:p w14:paraId="1700BFE5" w14:textId="77777777" w:rsidR="009E48FE" w:rsidRDefault="0081672E" w:rsidP="00FA14C2">
      <w:pPr>
        <w:pStyle w:val="heading10"/>
        <w:numPr>
          <w:ilvl w:val="0"/>
          <w:numId w:val="4"/>
        </w:numPr>
        <w:ind w:left="630" w:hanging="630"/>
      </w:pPr>
      <w:r>
        <w:lastRenderedPageBreak/>
        <w:t>Introduction</w:t>
      </w:r>
    </w:p>
    <w:p w14:paraId="12CE74DC" w14:textId="505C47FE" w:rsidR="00ED708E" w:rsidRDefault="00655251" w:rsidP="00282E2F">
      <w:pPr>
        <w:ind w:firstLine="630"/>
        <w:rPr>
          <w:rFonts w:cs="Arial"/>
          <w:szCs w:val="24"/>
        </w:rPr>
      </w:pPr>
      <w:r w:rsidRPr="007F1E26">
        <w:rPr>
          <w:rFonts w:cs="Arial"/>
          <w:i/>
          <w:szCs w:val="24"/>
        </w:rPr>
        <w:t>In vitro</w:t>
      </w:r>
      <w:r>
        <w:rPr>
          <w:rFonts w:cs="Arial"/>
          <w:szCs w:val="24"/>
        </w:rPr>
        <w:t xml:space="preserve"> </w:t>
      </w:r>
      <w:r w:rsidR="007F1E26">
        <w:rPr>
          <w:rFonts w:cs="Arial"/>
          <w:szCs w:val="24"/>
        </w:rPr>
        <w:t xml:space="preserve">flow </w:t>
      </w:r>
      <w:r w:rsidR="00ED708E">
        <w:rPr>
          <w:rFonts w:cs="Arial"/>
          <w:szCs w:val="24"/>
        </w:rPr>
        <w:t>experiments</w:t>
      </w:r>
      <w:r w:rsidR="007F1E26">
        <w:rPr>
          <w:rFonts w:cs="Arial"/>
          <w:szCs w:val="24"/>
        </w:rPr>
        <w:t xml:space="preserve"> are</w:t>
      </w:r>
      <w:r w:rsidR="00C25131">
        <w:rPr>
          <w:rFonts w:cs="Arial"/>
          <w:szCs w:val="24"/>
        </w:rPr>
        <w:t xml:space="preserve"> used</w:t>
      </w:r>
      <w:r w:rsidR="007F1E26">
        <w:rPr>
          <w:rFonts w:cs="Arial"/>
          <w:szCs w:val="24"/>
        </w:rPr>
        <w:t xml:space="preserve"> to evaluate a range of vascular diseases.</w:t>
      </w:r>
      <w:r w:rsidR="00DE0435">
        <w:rPr>
          <w:rFonts w:cs="Arial"/>
          <w:szCs w:val="24"/>
        </w:rPr>
        <w:t xml:space="preserve"> </w:t>
      </w:r>
      <w:r w:rsidR="00480913">
        <w:rPr>
          <w:rFonts w:cs="Arial"/>
          <w:szCs w:val="24"/>
        </w:rPr>
        <w:t xml:space="preserve">Optical </w:t>
      </w:r>
      <w:r w:rsidR="00480913" w:rsidRPr="00565F81">
        <w:rPr>
          <w:rFonts w:cs="Arial"/>
          <w:i/>
          <w:szCs w:val="24"/>
        </w:rPr>
        <w:t>in vitro</w:t>
      </w:r>
      <w:r w:rsidR="00480913">
        <w:rPr>
          <w:rFonts w:cs="Arial"/>
          <w:szCs w:val="24"/>
        </w:rPr>
        <w:t xml:space="preserve"> imaging </w:t>
      </w:r>
      <w:r w:rsidR="00CD5F9E">
        <w:rPr>
          <w:rFonts w:cs="Arial"/>
          <w:szCs w:val="24"/>
        </w:rPr>
        <w:t xml:space="preserve">measurement </w:t>
      </w:r>
      <w:r w:rsidR="00480913">
        <w:rPr>
          <w:rFonts w:cs="Arial"/>
          <w:szCs w:val="24"/>
        </w:rPr>
        <w:t xml:space="preserve">techniques, such as particle image velocimetry (PIV), are </w:t>
      </w:r>
      <w:r w:rsidR="00FA6BB5">
        <w:rPr>
          <w:rFonts w:cs="Arial"/>
          <w:szCs w:val="24"/>
        </w:rPr>
        <w:t xml:space="preserve">used because they provide </w:t>
      </w:r>
      <w:r w:rsidR="00565F81">
        <w:rPr>
          <w:rFonts w:cs="Arial"/>
          <w:szCs w:val="24"/>
        </w:rPr>
        <w:t>well-</w:t>
      </w:r>
      <w:r w:rsidR="00FA6BB5">
        <w:rPr>
          <w:rFonts w:cs="Arial"/>
          <w:szCs w:val="24"/>
        </w:rPr>
        <w:t xml:space="preserve">controlled </w:t>
      </w:r>
      <w:r w:rsidR="00565F81">
        <w:rPr>
          <w:rFonts w:cs="Arial"/>
          <w:szCs w:val="24"/>
        </w:rPr>
        <w:t>flow fields with</w:t>
      </w:r>
      <w:r w:rsidR="00FA6BB5">
        <w:rPr>
          <w:rFonts w:cs="Arial"/>
          <w:szCs w:val="24"/>
        </w:rPr>
        <w:t xml:space="preserve"> high spatiotemporal resol</w:t>
      </w:r>
      <w:r w:rsidR="00565F81">
        <w:rPr>
          <w:rFonts w:cs="Arial"/>
          <w:szCs w:val="24"/>
        </w:rPr>
        <w:t>ution</w:t>
      </w:r>
      <w:r w:rsidR="00FA6BB5">
        <w:rPr>
          <w:rFonts w:cs="Arial"/>
          <w:szCs w:val="24"/>
        </w:rPr>
        <w:t xml:space="preserve">. </w:t>
      </w:r>
      <w:r w:rsidR="004C268F">
        <w:rPr>
          <w:rFonts w:cs="Arial"/>
          <w:szCs w:val="24"/>
        </w:rPr>
        <w:t xml:space="preserve">For such experiments, </w:t>
      </w:r>
      <w:r w:rsidR="00722F04">
        <w:rPr>
          <w:rFonts w:cs="Arial"/>
          <w:szCs w:val="24"/>
        </w:rPr>
        <w:t xml:space="preserve">the test geometries are often made of </w:t>
      </w:r>
      <w:r w:rsidR="004C268F">
        <w:rPr>
          <w:rFonts w:cs="Arial"/>
          <w:szCs w:val="24"/>
        </w:rPr>
        <w:t xml:space="preserve">silicone </w:t>
      </w:r>
      <w:proofErr w:type="spellStart"/>
      <w:r w:rsidR="004C268F">
        <w:rPr>
          <w:rFonts w:cs="Arial"/>
          <w:szCs w:val="24"/>
        </w:rPr>
        <w:t>polydimethysiloxane</w:t>
      </w:r>
      <w:proofErr w:type="spellEnd"/>
      <w:r w:rsidR="004C268F">
        <w:rPr>
          <w:rFonts w:cs="Arial"/>
          <w:szCs w:val="24"/>
        </w:rPr>
        <w:t xml:space="preserve"> (PDMS) </w:t>
      </w:r>
      <w:proofErr w:type="spellStart"/>
      <w:r w:rsidR="007142C9">
        <w:rPr>
          <w:rFonts w:cs="Arial"/>
          <w:szCs w:val="24"/>
        </w:rPr>
        <w:t>Sylgard</w:t>
      </w:r>
      <w:proofErr w:type="spellEnd"/>
      <w:r w:rsidR="007142C9">
        <w:rPr>
          <w:rFonts w:cs="Arial"/>
          <w:szCs w:val="24"/>
        </w:rPr>
        <w:t xml:space="preserve"> 184 </w:t>
      </w:r>
      <w:r w:rsidR="00C25131">
        <w:rPr>
          <w:rFonts w:cs="Arial"/>
          <w:szCs w:val="24"/>
        </w:rPr>
        <w:t>because</w:t>
      </w:r>
      <w:r w:rsidR="004C268F">
        <w:rPr>
          <w:rFonts w:cs="Arial"/>
          <w:szCs w:val="24"/>
        </w:rPr>
        <w:t xml:space="preserve"> </w:t>
      </w:r>
      <w:r w:rsidR="009360D2">
        <w:rPr>
          <w:rFonts w:cs="Arial"/>
          <w:szCs w:val="24"/>
        </w:rPr>
        <w:t xml:space="preserve">the </w:t>
      </w:r>
      <w:r w:rsidR="004C268F">
        <w:rPr>
          <w:rFonts w:cs="Arial"/>
          <w:szCs w:val="24"/>
        </w:rPr>
        <w:t>versatility in the curing process allows for specific shapes and compliances to be represented</w:t>
      </w:r>
      <w:r w:rsidR="00A100DC">
        <w:rPr>
          <w:rFonts w:cs="Arial"/>
          <w:szCs w:val="24"/>
        </w:rPr>
        <w:t xml:space="preserve"> </w:t>
      </w:r>
      <w:r w:rsidR="00A100DC">
        <w:rPr>
          <w:rFonts w:cs="Arial"/>
          <w:szCs w:val="24"/>
        </w:rPr>
        <w:fldChar w:fldCharType="begin" w:fldLock="1"/>
      </w:r>
      <w:r w:rsidR="00C90B3B">
        <w:rPr>
          <w:rFonts w:cs="Arial"/>
          <w:szCs w:val="24"/>
        </w:rPr>
        <w:instrText>ADDIN CSL_CITATION {"citationItems":[{"id":"ITEM-1","itemData":{"DOI":"10.1007/s00348-017-2386-y","ISBN":"0034801723","ISSN":"07234864","abstract":"© 2017, The Author(s). Experimental techniques based on optical measurement principles have experienced significant growth in recent decades. They are able to provide detailed information with high-spatiotemporal resolution on important scalar (e.g., temperature, concentration, and phase) and vector (e.g., velocity) fields in single-phase or multiphase flows, as well as interfacial characteristics in the latter, which has been instrumental to step-changes in our fundamental understanding of these flows, and the development and validation of advanced models with ever-improving predictive accuracy and reliability. Relevant techniques rely upon well-established optical methods such as direct photography, laser-induced fluorescence, laser Doppler velocimetry/phase Doppler anemometry, particle image/tracking velocimetry, and variants thereof. The accuracy of the resulting data depends on numerous factors including, importantly, the refractive indices of the solids and liquids used. The best results are obtained when the observational materials have closely matched refractive indices, including test-section walls, liquid phases, and any suspended particles. This paper reviews solid–liquid and solid–liquid–liquid refractive-index-matched systems employed in different fields, e.g., multiphase flows, turbomachinery, bio-fluid flows, with an emphasis on liquid–liquid systems. The refractive indices of various aqueous and organic phases found in the literature span the range 1.330–1.620 and 1.251–1.637, respectively, allowing the identification of appropriate combinations to match selected transparent or translucent plastics/polymers, glasses, or custom materials in single-phase liquid or multiphase liquid–liquid flow systems. In addition, the refractive indices of fluids can be further tuned with the use of additives, which also allows for the matching of important flow similarity parameters such as density and viscosity.","author":[{"dropping-particle":"","family":"Wright","given":"Stuart F.","non-dropping-particle":"","parse-names":false,"suffix":""},{"dropping-particle":"","family":"Zadrazil","given":"Ivan","non-dropping-particle":"","parse-names":false,"suffix":""},{"dropping-particle":"","family":"Markides","given":"Christos N.","non-dropping-particle":"","parse-names":false,"suffix":""}],"container-title":"Experiments in Fluids","id":"ITEM-1","issue":"9","issued":{"date-parts":[["2017"]]},"number-of-pages":"1-39","publisher":"Springer Berlin Heidelberg","title":"A review of solid–fluid selection options for optical-based measurements in single-phase liquid, two-phase liquid–liquid and multiphase solid–liquid flows","type":"book","volume":"58"},"uris":["http://www.mendeley.com/documents/?uuid=ea3aa6f4-30b2-4666-a15c-67ceef2cb0a3","http://www.mendeley.com/documents/?uuid=601c1b7e-95b1-4202-a447-8586039dff14"]}],"mendeley":{"formattedCitation":"(Wright et al. 2017)","plainTextFormattedCitation":"(Wright et al. 2017)","previouslyFormattedCitation":"(Wright et al. 2017)"},"properties":{"noteIndex":0},"schema":"https://github.com/citation-style-language/schema/raw/master/csl-citation.json"}</w:instrText>
      </w:r>
      <w:r w:rsidR="00A100DC">
        <w:rPr>
          <w:rFonts w:cs="Arial"/>
          <w:szCs w:val="24"/>
        </w:rPr>
        <w:fldChar w:fldCharType="separate"/>
      </w:r>
      <w:r w:rsidR="00A100DC" w:rsidRPr="00A100DC">
        <w:rPr>
          <w:rFonts w:cs="Arial"/>
          <w:noProof/>
          <w:szCs w:val="24"/>
        </w:rPr>
        <w:t>(Wright et al. 2017)</w:t>
      </w:r>
      <w:r w:rsidR="00A100DC">
        <w:rPr>
          <w:rFonts w:cs="Arial"/>
          <w:szCs w:val="24"/>
        </w:rPr>
        <w:fldChar w:fldCharType="end"/>
      </w:r>
      <w:r w:rsidR="004C268F">
        <w:rPr>
          <w:rFonts w:cs="Arial"/>
          <w:szCs w:val="24"/>
        </w:rPr>
        <w:t xml:space="preserve">. Although </w:t>
      </w:r>
      <w:r w:rsidR="00A100DC">
        <w:rPr>
          <w:rFonts w:cs="Arial"/>
          <w:szCs w:val="24"/>
        </w:rPr>
        <w:t xml:space="preserve">3D printing and </w:t>
      </w:r>
      <w:r w:rsidR="004C268F">
        <w:rPr>
          <w:rFonts w:cs="Arial"/>
          <w:szCs w:val="24"/>
        </w:rPr>
        <w:t xml:space="preserve">plastic materials are also used, they are limited to rigid test sections. </w:t>
      </w:r>
      <w:r w:rsidR="00A100DC">
        <w:rPr>
          <w:rFonts w:cs="Arial"/>
          <w:szCs w:val="24"/>
        </w:rPr>
        <w:t>D</w:t>
      </w:r>
      <w:r w:rsidR="00DE0435">
        <w:rPr>
          <w:rFonts w:cs="Arial"/>
          <w:szCs w:val="24"/>
        </w:rPr>
        <w:t xml:space="preserve">etailed evaluation </w:t>
      </w:r>
      <w:r w:rsidR="00A100DC">
        <w:rPr>
          <w:rFonts w:cs="Arial"/>
          <w:szCs w:val="24"/>
        </w:rPr>
        <w:t xml:space="preserve">and review </w:t>
      </w:r>
      <w:r w:rsidR="00DE0435">
        <w:rPr>
          <w:rFonts w:cs="Arial"/>
          <w:szCs w:val="24"/>
        </w:rPr>
        <w:t xml:space="preserve">of </w:t>
      </w:r>
      <w:r w:rsidR="00DE0435" w:rsidRPr="00D70AAA">
        <w:rPr>
          <w:rFonts w:cs="Arial"/>
          <w:i/>
          <w:szCs w:val="24"/>
        </w:rPr>
        <w:t>in vitro</w:t>
      </w:r>
      <w:r w:rsidR="00DE0435">
        <w:rPr>
          <w:rFonts w:cs="Arial"/>
          <w:szCs w:val="24"/>
        </w:rPr>
        <w:t xml:space="preserve"> experimental techniques</w:t>
      </w:r>
      <w:r w:rsidR="004C268F">
        <w:rPr>
          <w:rFonts w:cs="Arial"/>
          <w:szCs w:val="24"/>
        </w:rPr>
        <w:t>, including</w:t>
      </w:r>
      <w:r w:rsidR="00BF0B14">
        <w:rPr>
          <w:rFonts w:cs="Arial"/>
          <w:szCs w:val="24"/>
        </w:rPr>
        <w:t xml:space="preserve"> </w:t>
      </w:r>
      <w:r w:rsidR="0074412D">
        <w:rPr>
          <w:rFonts w:cs="Arial"/>
          <w:szCs w:val="24"/>
        </w:rPr>
        <w:t>test section manufacturing,</w:t>
      </w:r>
      <w:r w:rsidR="00A100DC">
        <w:rPr>
          <w:rFonts w:cs="Arial"/>
          <w:szCs w:val="24"/>
        </w:rPr>
        <w:t xml:space="preserve"> are </w:t>
      </w:r>
      <w:r w:rsidR="007D4925">
        <w:rPr>
          <w:rFonts w:cs="Arial"/>
          <w:szCs w:val="24"/>
        </w:rPr>
        <w:t xml:space="preserve">presented </w:t>
      </w:r>
      <w:r w:rsidR="00A100DC">
        <w:rPr>
          <w:rFonts w:cs="Arial"/>
          <w:szCs w:val="24"/>
        </w:rPr>
        <w:t>by</w:t>
      </w:r>
      <w:r w:rsidR="00410674">
        <w:rPr>
          <w:rFonts w:cs="Arial"/>
          <w:szCs w:val="24"/>
        </w:rPr>
        <w:t xml:space="preserve"> Wright et al. (2017) and </w:t>
      </w:r>
      <w:proofErr w:type="spellStart"/>
      <w:r w:rsidR="00410674">
        <w:rPr>
          <w:rFonts w:cs="Arial"/>
          <w:szCs w:val="24"/>
        </w:rPr>
        <w:t>Yazd</w:t>
      </w:r>
      <w:r w:rsidR="00D70AAA">
        <w:rPr>
          <w:rFonts w:cs="Arial"/>
          <w:szCs w:val="24"/>
        </w:rPr>
        <w:t>i</w:t>
      </w:r>
      <w:proofErr w:type="spellEnd"/>
      <w:r w:rsidR="00D70AAA">
        <w:rPr>
          <w:rFonts w:cs="Arial"/>
          <w:szCs w:val="24"/>
        </w:rPr>
        <w:t xml:space="preserve"> et a</w:t>
      </w:r>
      <w:r w:rsidR="00A100DC">
        <w:rPr>
          <w:rFonts w:cs="Arial"/>
          <w:szCs w:val="24"/>
        </w:rPr>
        <w:t>l. (2018).</w:t>
      </w:r>
    </w:p>
    <w:p w14:paraId="1565C609" w14:textId="391FFECA" w:rsidR="00D55084" w:rsidRDefault="00A100DC" w:rsidP="00D55084">
      <w:pPr>
        <w:ind w:firstLine="630"/>
        <w:rPr>
          <w:rFonts w:cs="Arial"/>
          <w:szCs w:val="24"/>
        </w:rPr>
      </w:pPr>
      <w:r>
        <w:rPr>
          <w:rFonts w:cs="Arial"/>
          <w:szCs w:val="24"/>
        </w:rPr>
        <w:t xml:space="preserve">For optical experiments using PDMS </w:t>
      </w:r>
      <w:r w:rsidR="00D624E6">
        <w:rPr>
          <w:rFonts w:cs="Arial"/>
          <w:szCs w:val="24"/>
        </w:rPr>
        <w:t>models</w:t>
      </w:r>
      <w:r>
        <w:rPr>
          <w:rFonts w:cs="Arial"/>
          <w:szCs w:val="24"/>
        </w:rPr>
        <w:t xml:space="preserve">, selecting the proper working fluid is critical, but difficult even for Newtonian fluids </w:t>
      </w:r>
      <w:r>
        <w:rPr>
          <w:rFonts w:cs="Arial"/>
          <w:szCs w:val="24"/>
        </w:rPr>
        <w:fldChar w:fldCharType="begin" w:fldLock="1"/>
      </w:r>
      <w:r w:rsidR="00C90B3B">
        <w:rPr>
          <w:rFonts w:cs="Arial"/>
          <w:szCs w:val="24"/>
        </w:rPr>
        <w:instrText>ADDIN CSL_CITATION {"citationItems":[{"id":"ITEM-1","itemData":{"DOI":"10.1007/s10439-018-2085-8","ISSN":"0090-6964","author":[{"dropping-particle":"","family":"Yazdi","given":"Sina G.","non-dropping-particle":"","parse-names":false,"suffix":""},{"dropping-particle":"","family":"Geoghegan","given":"P. H.","non-dropping-particle":"","parse-names":false,"suffix":""},{"dropping-particle":"","family":"Docherty","given":"P. D.","non-dropping-particle":"","parse-names":false,"suffix":""},{"dropping-particle":"","family":"Jermy","given":"Mark","non-dropping-particle":"","parse-names":false,"suffix":""},{"dropping-particle":"","family":"Khanafer","given":"Adib","non-dropping-particle":"","parse-names":false,"suffix":""}],"container-title":"Annals of Biomedical Engineering","id":"ITEM-1","issued":{"date-parts":[["2018"]]},"title":"A Review of Arterial Phantom Fabrication Methods for Flow Measurement Using PIV Techniques","type":"article-journal"},"uris":["http://www.mendeley.com/documents/?uuid=8c8cf85c-c830-416c-9b75-7c2e619932ef","http://www.mendeley.com/documents/?uuid=8a66cb7a-20da-4429-80c2-18427fbe1da8"]}],"mendeley":{"formattedCitation":"(Yazdi et al. 2018)","plainTextFormattedCitation":"(Yazdi et al. 2018)","previouslyFormattedCitation":"(Yazdi et al. 2018)"},"properties":{"noteIndex":0},"schema":"https://github.com/citation-style-language/schema/raw/master/csl-citation.json"}</w:instrText>
      </w:r>
      <w:r>
        <w:rPr>
          <w:rFonts w:cs="Arial"/>
          <w:szCs w:val="24"/>
        </w:rPr>
        <w:fldChar w:fldCharType="separate"/>
      </w:r>
      <w:r w:rsidRPr="00A100DC">
        <w:rPr>
          <w:rFonts w:cs="Arial"/>
          <w:noProof/>
          <w:szCs w:val="24"/>
        </w:rPr>
        <w:t>(Yazdi et al. 2018)</w:t>
      </w:r>
      <w:r>
        <w:rPr>
          <w:rFonts w:cs="Arial"/>
          <w:szCs w:val="24"/>
        </w:rPr>
        <w:fldChar w:fldCharType="end"/>
      </w:r>
      <w:r>
        <w:rPr>
          <w:rFonts w:cs="Arial"/>
          <w:szCs w:val="24"/>
        </w:rPr>
        <w:t xml:space="preserve">. </w:t>
      </w:r>
      <w:r w:rsidR="003E63F6">
        <w:rPr>
          <w:rFonts w:cs="Arial"/>
          <w:szCs w:val="24"/>
        </w:rPr>
        <w:t>I</w:t>
      </w:r>
      <w:r>
        <w:rPr>
          <w:rFonts w:cs="Arial"/>
          <w:szCs w:val="24"/>
        </w:rPr>
        <w:t xml:space="preserve">maging </w:t>
      </w:r>
      <w:r w:rsidR="008B02A9">
        <w:rPr>
          <w:rFonts w:cs="Arial"/>
          <w:szCs w:val="24"/>
        </w:rPr>
        <w:t>require</w:t>
      </w:r>
      <w:r>
        <w:rPr>
          <w:rFonts w:cs="Arial"/>
          <w:szCs w:val="24"/>
        </w:rPr>
        <w:t>s</w:t>
      </w:r>
      <w:r w:rsidR="008B02A9">
        <w:rPr>
          <w:rFonts w:cs="Arial"/>
          <w:szCs w:val="24"/>
        </w:rPr>
        <w:t xml:space="preserve"> the fluid to </w:t>
      </w:r>
      <w:r w:rsidR="00FB6281">
        <w:rPr>
          <w:rFonts w:cs="Arial"/>
          <w:szCs w:val="24"/>
        </w:rPr>
        <w:t xml:space="preserve">be </w:t>
      </w:r>
      <w:r w:rsidR="00722F04">
        <w:rPr>
          <w:rFonts w:cs="Arial"/>
          <w:szCs w:val="24"/>
        </w:rPr>
        <w:t xml:space="preserve">optically </w:t>
      </w:r>
      <w:r w:rsidR="00FB6281">
        <w:rPr>
          <w:rFonts w:cs="Arial"/>
          <w:szCs w:val="24"/>
        </w:rPr>
        <w:t xml:space="preserve">clear and have the same index of refraction </w:t>
      </w:r>
      <w:r w:rsidR="006C67AB">
        <w:rPr>
          <w:rFonts w:cs="Arial"/>
          <w:szCs w:val="24"/>
        </w:rPr>
        <w:t xml:space="preserve">(RI) </w:t>
      </w:r>
      <w:r w:rsidR="00FB6281">
        <w:rPr>
          <w:rFonts w:cs="Arial"/>
          <w:szCs w:val="24"/>
        </w:rPr>
        <w:t xml:space="preserve">as the material of the geometry section. For complex geometries, even small </w:t>
      </w:r>
      <w:r w:rsidR="00722F04">
        <w:rPr>
          <w:rFonts w:cs="Arial"/>
          <w:szCs w:val="24"/>
        </w:rPr>
        <w:t xml:space="preserve">differences in </w:t>
      </w:r>
      <w:r w:rsidR="006C67AB">
        <w:rPr>
          <w:rFonts w:cs="Arial"/>
          <w:szCs w:val="24"/>
        </w:rPr>
        <w:t>RI</w:t>
      </w:r>
      <w:r w:rsidR="00722F04">
        <w:rPr>
          <w:rFonts w:cs="Arial"/>
          <w:szCs w:val="24"/>
        </w:rPr>
        <w:t xml:space="preserve"> </w:t>
      </w:r>
      <w:r w:rsidR="00FB6281">
        <w:rPr>
          <w:rFonts w:cs="Arial"/>
          <w:szCs w:val="24"/>
        </w:rPr>
        <w:t>can result in significant optical distortion</w:t>
      </w:r>
      <w:r w:rsidR="009C633A">
        <w:rPr>
          <w:rFonts w:cs="Arial"/>
          <w:szCs w:val="24"/>
        </w:rPr>
        <w:t xml:space="preserve"> </w:t>
      </w:r>
      <w:r w:rsidR="009C633A">
        <w:rPr>
          <w:rFonts w:cs="Arial"/>
          <w:szCs w:val="24"/>
        </w:rPr>
        <w:fldChar w:fldCharType="begin" w:fldLock="1"/>
      </w:r>
      <w:r w:rsidR="00C90B3B">
        <w:rPr>
          <w:rFonts w:cs="Arial"/>
          <w:szCs w:val="24"/>
        </w:rPr>
        <w:instrText>ADDIN CSL_CITATION {"citationItems":[{"id":"ITEM-1","itemData":{"DOI":"10.1007/s00348-012-1369-2","ISBN":"0723-4864","ISSN":"07234864","abstract":"Application of optical techniques such as PIV, PTV, and LDA for velocity field estimation in porous media requires matching of refractive indices of the liquid phase to that of the solid matrix, including the channel walls. The methods most commonly employed to match the refractive indices have been to maximize the transmitted intensity through the bed or to rely on direct refractometer measurements of the indices of the two phases. Mismatch of refractive indices leads to error in estimation of particle position, epsilon(PD), due to refraction at solid-liquid interfaces. Analytical ray tracing applied to a model of solid beads placed randomly along the optical path is used to estimate epsilon(PD). The model, after validating against experimental results, is used to generate expression for epsilon(PD) as a function of refractive index mismatch for a range of bead diameters, bed widths, bed porosity, and optical magnification. The estimate of epsilon(PD), which is found to be unbiased, is connected to errors in PIV measurement using the central limit theorem. Mismatch in refractive indices can also lead to reduction in particle density, N-s, detected light flux, J, and degrade the particle image. The model, verified through experiments, is used to predict the reduction in N-s and J, where it is found that particle defocusing caused by spherical beads in refractive index mismatched porous bed is the primary contributor to reductions of N-s and J. In addition, the magnitude of epsilon(PD) is determined for the use of fluorescent dye emission for particle detection due to wavelength-dependent index of refraction.","author":[{"dropping-particle":"","family":"Patil","given":"Vishal A.","non-dropping-particle":"","parse-names":false,"suffix":""},{"dropping-particle":"","family":"Liburdy","given":"James A.","non-dropping-particle":"","parse-names":false,"suffix":""}],"container-title":"Experiments in Fluids","id":"ITEM-1","issue":"5","issued":{"date-parts":[["2012"]]},"page":"1453-1468","title":"Optical measurement uncertainties due to refractive index mismatch for flow in porous media","type":"article-journal","volume":"53"},"uris":["http://www.mendeley.com/documents/?uuid=53515c4f-ae94-4871-b600-02c8ba2b9e74","http://www.mendeley.com/documents/?uuid=96a1a111-1563-4cfe-98d5-d312b53a2e07"]}],"mendeley":{"formattedCitation":"(Patil and Liburdy 2012)","plainTextFormattedCitation":"(Patil and Liburdy 2012)","previouslyFormattedCitation":"(Patil and Liburdy 2012)"},"properties":{"noteIndex":0},"schema":"https://github.com/citation-style-language/schema/raw/master/csl-citation.json"}</w:instrText>
      </w:r>
      <w:r w:rsidR="009C633A">
        <w:rPr>
          <w:rFonts w:cs="Arial"/>
          <w:szCs w:val="24"/>
        </w:rPr>
        <w:fldChar w:fldCharType="separate"/>
      </w:r>
      <w:r w:rsidR="009C633A" w:rsidRPr="009C633A">
        <w:rPr>
          <w:rFonts w:cs="Arial"/>
          <w:noProof/>
          <w:szCs w:val="24"/>
        </w:rPr>
        <w:t>(Patil and Liburdy 2012)</w:t>
      </w:r>
      <w:r w:rsidR="009C633A">
        <w:rPr>
          <w:rFonts w:cs="Arial"/>
          <w:szCs w:val="24"/>
        </w:rPr>
        <w:fldChar w:fldCharType="end"/>
      </w:r>
      <w:r w:rsidR="009C633A">
        <w:rPr>
          <w:rFonts w:cs="Arial"/>
          <w:szCs w:val="24"/>
        </w:rPr>
        <w:t>.</w:t>
      </w:r>
      <w:r w:rsidR="00FB6281">
        <w:rPr>
          <w:rFonts w:cs="Arial"/>
          <w:szCs w:val="24"/>
        </w:rPr>
        <w:t xml:space="preserve"> </w:t>
      </w:r>
      <w:r w:rsidR="00202FA2">
        <w:rPr>
          <w:rFonts w:cs="Arial"/>
          <w:szCs w:val="24"/>
        </w:rPr>
        <w:t>T</w:t>
      </w:r>
      <w:r w:rsidR="00AD5A06">
        <w:rPr>
          <w:rFonts w:cs="Arial"/>
          <w:szCs w:val="24"/>
        </w:rPr>
        <w:t>he</w:t>
      </w:r>
      <w:r w:rsidR="00FB6281">
        <w:rPr>
          <w:rFonts w:cs="Arial"/>
          <w:szCs w:val="24"/>
        </w:rPr>
        <w:t xml:space="preserve"> working fluid must also simultaneously match the fluid properties of blood</w:t>
      </w:r>
      <w:r w:rsidR="00AD416E">
        <w:rPr>
          <w:rFonts w:cs="Arial"/>
          <w:szCs w:val="24"/>
        </w:rPr>
        <w:t xml:space="preserve"> (</w:t>
      </w:r>
      <w:r w:rsidR="00AD416E">
        <w:rPr>
          <w:rFonts w:cs="Arial"/>
          <w:szCs w:val="24"/>
        </w:rPr>
        <w:sym w:font="Symbol" w:char="F072"/>
      </w:r>
      <w:r w:rsidR="00AD416E">
        <w:rPr>
          <w:rFonts w:cs="Arial"/>
          <w:szCs w:val="24"/>
        </w:rPr>
        <w:t xml:space="preserve"> = 1060 kg/m</w:t>
      </w:r>
      <w:r w:rsidR="00AD416E" w:rsidRPr="00AD416E">
        <w:rPr>
          <w:rFonts w:cs="Arial"/>
          <w:szCs w:val="24"/>
          <w:vertAlign w:val="superscript"/>
        </w:rPr>
        <w:t>3</w:t>
      </w:r>
      <w:r w:rsidR="00AD416E">
        <w:rPr>
          <w:rFonts w:cs="Arial"/>
          <w:szCs w:val="24"/>
        </w:rPr>
        <w:t xml:space="preserve">, </w:t>
      </w:r>
      <w:r w:rsidR="00AD416E">
        <w:rPr>
          <w:rFonts w:cs="Arial"/>
          <w:szCs w:val="24"/>
        </w:rPr>
        <w:sym w:font="Symbol" w:char="F06D"/>
      </w:r>
      <w:r w:rsidR="00AD416E">
        <w:rPr>
          <w:rFonts w:cs="Arial"/>
          <w:szCs w:val="24"/>
        </w:rPr>
        <w:t xml:space="preserve"> = 2.9-4.37 mPa-s) </w:t>
      </w:r>
      <w:r w:rsidR="00AD416E">
        <w:rPr>
          <w:rFonts w:cs="Arial"/>
          <w:szCs w:val="24"/>
        </w:rPr>
        <w:fldChar w:fldCharType="begin" w:fldLock="1"/>
      </w:r>
      <w:r w:rsidR="00C90B3B">
        <w:rPr>
          <w:rFonts w:cs="Arial"/>
          <w:szCs w:val="24"/>
        </w:rPr>
        <w:instrText>ADDIN CSL_CITATION {"citationItems":[{"id":"ITEM-1","itemData":{"ISSN":"0008-4409","PMID":"14217258","abstract":"Viscosity of whole blood and plasma was measured in 258 apparently healthy subjects of both sexes from 5 to 60 years of age, and in 86 patients with unequivocal evidence of chronic coronary heart disease. Children and young healthy females had the lowest viscosity readings. Healthy young and middle-aged males had significantly higher blood viscosity than females. Patients with coronary heart disease had significantly higher blood viscosity values than healthy groups of the same sex. It is suggested that the higher viscosity of whole blood and of plasma is a contributory factor in development of clinical manifestations of coronary heart disease and possibly of the basic vascular lesion itself.","author":[{"dropping-particle":"","family":"Mayer","given":"G A","non-dropping-particle":"","parse-names":false,"suffix":""}],"container-title":"Canadian Medical Association Journal","id":"ITEM-1","issued":{"date-parts":[["1964"]]},"page":"951-4","title":"Blood Viscosity in Healthy Subjects and Patients With Coronary Heart Disease.","type":"article-journal","volume":"91"},"uris":["http://www.mendeley.com/documents/?uuid=1f7a2cb2-3c36-4a90-8010-93777b281480","http://www.mendeley.com/documents/?uuid=8f8a090c-d1a7-4c09-ab25-d69c0c64b089"]},{"id":"ITEM-2","itemData":{"DOI":"10.1007/s10439-018-2085-8","ISSN":"0090-6964","author":[{"dropping-particle":"","family":"Yazdi","given":"Sina G.","non-dropping-particle":"","parse-names":false,"suffix":""},{"dropping-particle":"","family":"Geoghegan","given":"P. H.","non-dropping-particle":"","parse-names":false,"suffix":""},{"dropping-particle":"","family":"Docherty","given":"P. D.","non-dropping-particle":"","parse-names":false,"suffix":""},{"dropping-particle":"","family":"Jermy","given":"Mark","non-dropping-particle":"","parse-names":false,"suffix":""},{"dropping-particle":"","family":"Khanafer","given":"Adib","non-dropping-particle":"","parse-names":false,"suffix":""}],"container-title":"Annals of Biomedical Engineering","id":"ITEM-2","issued":{"date-parts":[["2018"]]},"title":"A Review of Arterial Phantom Fabrication Methods for Flow Measurement Using PIV Techniques","type":"article-journal"},"uris":["http://www.mendeley.com/documents/?uuid=8a66cb7a-20da-4429-80c2-18427fbe1da8","http://www.mendeley.com/documents/?uuid=8c8cf85c-c830-416c-9b75-7c2e619932ef"]}],"mendeley":{"formattedCitation":"(Mayer 1964; Yazdi et al. 2018)","plainTextFormattedCitation":"(Mayer 1964; Yazdi et al. 2018)","previouslyFormattedCitation":"(Mayer 1964; Yazdi et al. 2018)"},"properties":{"noteIndex":0},"schema":"https://github.com/citation-style-language/schema/raw/master/csl-citation.json"}</w:instrText>
      </w:r>
      <w:r w:rsidR="00AD416E">
        <w:rPr>
          <w:rFonts w:cs="Arial"/>
          <w:szCs w:val="24"/>
        </w:rPr>
        <w:fldChar w:fldCharType="separate"/>
      </w:r>
      <w:r w:rsidR="009C633A" w:rsidRPr="009C633A">
        <w:rPr>
          <w:rFonts w:cs="Arial"/>
          <w:noProof/>
          <w:szCs w:val="24"/>
        </w:rPr>
        <w:t>(Mayer 1964; Yazdi et al. 2018)</w:t>
      </w:r>
      <w:r w:rsidR="00AD416E">
        <w:rPr>
          <w:rFonts w:cs="Arial"/>
          <w:szCs w:val="24"/>
        </w:rPr>
        <w:fldChar w:fldCharType="end"/>
      </w:r>
      <w:r w:rsidR="00FB6281">
        <w:rPr>
          <w:rFonts w:cs="Arial"/>
          <w:szCs w:val="24"/>
        </w:rPr>
        <w:t>.</w:t>
      </w:r>
      <w:r w:rsidR="00313683">
        <w:rPr>
          <w:rFonts w:cs="Arial"/>
          <w:szCs w:val="24"/>
        </w:rPr>
        <w:t xml:space="preserve"> </w:t>
      </w:r>
      <w:r w:rsidR="003F2B9B">
        <w:rPr>
          <w:rFonts w:cs="Arial"/>
          <w:szCs w:val="24"/>
        </w:rPr>
        <w:t>While d</w:t>
      </w:r>
      <w:r w:rsidR="00202FA2">
        <w:rPr>
          <w:rFonts w:cs="Arial"/>
          <w:szCs w:val="24"/>
        </w:rPr>
        <w:t xml:space="preserve">ynamic scaling </w:t>
      </w:r>
      <w:r w:rsidR="002064AE">
        <w:rPr>
          <w:rFonts w:cs="Arial"/>
          <w:szCs w:val="24"/>
        </w:rPr>
        <w:t>may</w:t>
      </w:r>
      <w:r w:rsidR="00202FA2">
        <w:rPr>
          <w:rFonts w:cs="Arial"/>
          <w:szCs w:val="24"/>
        </w:rPr>
        <w:t xml:space="preserve"> be used </w:t>
      </w:r>
      <w:r w:rsidR="003F2B9B">
        <w:rPr>
          <w:rFonts w:cs="Arial"/>
          <w:szCs w:val="24"/>
        </w:rPr>
        <w:t xml:space="preserve">in cases where the working fluid does not match that of blood, this </w:t>
      </w:r>
      <w:r w:rsidR="002064AE">
        <w:rPr>
          <w:rFonts w:cs="Arial"/>
          <w:szCs w:val="24"/>
        </w:rPr>
        <w:t xml:space="preserve">is not always possible and </w:t>
      </w:r>
      <w:r w:rsidR="003F2B9B">
        <w:rPr>
          <w:rFonts w:cs="Arial"/>
          <w:szCs w:val="24"/>
        </w:rPr>
        <w:t>can add complexity to the experiment and the calculation of properly scaled spatiotemporal gradients.</w:t>
      </w:r>
      <w:r w:rsidR="00202FA2">
        <w:rPr>
          <w:rFonts w:cs="Arial"/>
          <w:szCs w:val="24"/>
        </w:rPr>
        <w:t xml:space="preserve"> </w:t>
      </w:r>
      <w:r w:rsidR="00313683">
        <w:rPr>
          <w:rFonts w:cs="Arial"/>
          <w:szCs w:val="24"/>
        </w:rPr>
        <w:t xml:space="preserve">A 60/40 </w:t>
      </w:r>
      <w:r w:rsidR="00960FB6">
        <w:rPr>
          <w:rFonts w:cs="Arial"/>
          <w:szCs w:val="24"/>
        </w:rPr>
        <w:t xml:space="preserve">(by volume) </w:t>
      </w:r>
      <w:r w:rsidR="00313683">
        <w:rPr>
          <w:rFonts w:cs="Arial"/>
          <w:szCs w:val="24"/>
        </w:rPr>
        <w:t>water-</w:t>
      </w:r>
      <w:r w:rsidR="001C2A6A">
        <w:rPr>
          <w:rFonts w:cs="Arial"/>
          <w:szCs w:val="24"/>
        </w:rPr>
        <w:t>glycerol</w:t>
      </w:r>
      <w:r w:rsidR="00313683">
        <w:rPr>
          <w:rFonts w:cs="Arial"/>
          <w:szCs w:val="24"/>
        </w:rPr>
        <w:t xml:space="preserve"> mixture is one of the most </w:t>
      </w:r>
      <w:r w:rsidR="00722F04">
        <w:rPr>
          <w:rFonts w:cs="Arial"/>
          <w:szCs w:val="24"/>
        </w:rPr>
        <w:t xml:space="preserve">widely </w:t>
      </w:r>
      <w:r w:rsidR="00313683">
        <w:rPr>
          <w:rFonts w:cs="Arial"/>
          <w:szCs w:val="24"/>
        </w:rPr>
        <w:t>used blood analogue solutions</w:t>
      </w:r>
      <w:r w:rsidR="00FB7901">
        <w:rPr>
          <w:rFonts w:cs="Arial"/>
          <w:szCs w:val="24"/>
        </w:rPr>
        <w:t xml:space="preserve"> for use with PDMS</w:t>
      </w:r>
      <w:r w:rsidR="00313683">
        <w:rPr>
          <w:rFonts w:cs="Arial"/>
          <w:szCs w:val="24"/>
        </w:rPr>
        <w:t>. However, a 60/40 water-</w:t>
      </w:r>
      <w:r w:rsidR="001C2A6A">
        <w:rPr>
          <w:rFonts w:cs="Arial"/>
          <w:szCs w:val="24"/>
        </w:rPr>
        <w:t>glycerol</w:t>
      </w:r>
      <w:r w:rsidR="00313683">
        <w:rPr>
          <w:rFonts w:cs="Arial"/>
          <w:szCs w:val="24"/>
        </w:rPr>
        <w:t xml:space="preserve"> mixture yields an index of refraction of approximately 1.39, well below that of PDMS at 1.414</w:t>
      </w:r>
      <w:r w:rsidR="00890F37">
        <w:rPr>
          <w:rFonts w:cs="Arial"/>
          <w:szCs w:val="24"/>
        </w:rPr>
        <w:t xml:space="preserve"> </w:t>
      </w:r>
      <w:r w:rsidR="00890F37">
        <w:rPr>
          <w:rFonts w:cs="Arial"/>
          <w:szCs w:val="24"/>
        </w:rPr>
        <w:fldChar w:fldCharType="begin" w:fldLock="1"/>
      </w:r>
      <w:r w:rsidR="00890F37">
        <w:rPr>
          <w:rFonts w:cs="Arial"/>
          <w:szCs w:val="24"/>
        </w:rPr>
        <w:instrText>ADDIN CSL_CITATION {"citationItems":[{"id":"ITEM-1","itemData":{"DOI":"10.1007/s00348-010-0958-1","author":[{"dropping-particle":"","family":"Yousif","given":"Majid Y","non-dropping-particle":"","parse-names":false,"suffix":""},{"dropping-particle":"","family":"Holdsworth","given":"David W.","non-dropping-particle":"","parse-names":false,"suffix":""},{"dropping-particle":"","family":"Poepping","given":"Tamie L","non-dropping-particle":"","parse-names":false,"suffix":""}],"container-title":"Experiments in Fluids","id":"ITEM-1","issued":{"date-parts":[["2011"]]},"page":"769-774","title":"A blood-mimicking fluid for particle image velocimetry with silicone vascular models","type":"article-journal","volume":"50"},"uris":["http://www.mendeley.com/documents/?uuid=ed079c0a-e9e2-4f19-ad56-a64ebd54289c"]}],"mendeley":{"formattedCitation":"(Yousif et al. 2011)","plainTextFormattedCitation":"(Yousif et al. 2011)","previouslyFormattedCitation":"(Yousif et al. 2011)"},"properties":{"noteIndex":0},"schema":"https://github.com/citation-style-language/schema/raw/master/csl-citation.json"}</w:instrText>
      </w:r>
      <w:r w:rsidR="00890F37">
        <w:rPr>
          <w:rFonts w:cs="Arial"/>
          <w:szCs w:val="24"/>
        </w:rPr>
        <w:fldChar w:fldCharType="separate"/>
      </w:r>
      <w:r w:rsidR="00890F37" w:rsidRPr="00890F37">
        <w:rPr>
          <w:rFonts w:cs="Arial"/>
          <w:noProof/>
          <w:szCs w:val="24"/>
        </w:rPr>
        <w:t>(Yousif et al. 2011)</w:t>
      </w:r>
      <w:r w:rsidR="00890F37">
        <w:rPr>
          <w:rFonts w:cs="Arial"/>
          <w:szCs w:val="24"/>
        </w:rPr>
        <w:fldChar w:fldCharType="end"/>
      </w:r>
      <w:r w:rsidR="00313683">
        <w:rPr>
          <w:rFonts w:cs="Arial"/>
          <w:szCs w:val="24"/>
        </w:rPr>
        <w:t xml:space="preserve">. </w:t>
      </w:r>
      <w:r w:rsidR="00654685">
        <w:rPr>
          <w:rFonts w:cs="Arial"/>
          <w:szCs w:val="24"/>
        </w:rPr>
        <w:t>A water-</w:t>
      </w:r>
      <w:r w:rsidR="001C2A6A">
        <w:rPr>
          <w:rFonts w:cs="Arial"/>
          <w:szCs w:val="24"/>
        </w:rPr>
        <w:t>glycerol</w:t>
      </w:r>
      <w:r w:rsidR="00654685">
        <w:rPr>
          <w:rFonts w:cs="Arial"/>
          <w:szCs w:val="24"/>
        </w:rPr>
        <w:t xml:space="preserve"> mixture with the same </w:t>
      </w:r>
      <w:r w:rsidR="00662215">
        <w:rPr>
          <w:rFonts w:cs="Arial"/>
          <w:szCs w:val="24"/>
        </w:rPr>
        <w:t>RI</w:t>
      </w:r>
      <w:r w:rsidR="00654685">
        <w:rPr>
          <w:rFonts w:cs="Arial"/>
          <w:szCs w:val="24"/>
        </w:rPr>
        <w:t xml:space="preserve"> of PDMS has a viscosity about 2-3 times higher than blood. </w:t>
      </w:r>
      <w:r w:rsidR="00313683">
        <w:rPr>
          <w:rFonts w:cs="Arial"/>
          <w:szCs w:val="24"/>
        </w:rPr>
        <w:t xml:space="preserve">To increase the </w:t>
      </w:r>
      <w:r w:rsidR="00662215">
        <w:rPr>
          <w:rFonts w:cs="Arial"/>
          <w:szCs w:val="24"/>
        </w:rPr>
        <w:t>RI</w:t>
      </w:r>
      <w:r w:rsidR="007E0631">
        <w:rPr>
          <w:rFonts w:cs="Arial"/>
          <w:szCs w:val="24"/>
        </w:rPr>
        <w:t xml:space="preserve"> of a 60/40 water </w:t>
      </w:r>
      <w:r w:rsidR="001C2A6A">
        <w:rPr>
          <w:rFonts w:cs="Arial"/>
          <w:szCs w:val="24"/>
        </w:rPr>
        <w:t>glycerol</w:t>
      </w:r>
      <w:r w:rsidR="007E0631">
        <w:rPr>
          <w:rFonts w:cs="Arial"/>
          <w:szCs w:val="24"/>
        </w:rPr>
        <w:t xml:space="preserve"> solution</w:t>
      </w:r>
      <w:r w:rsidR="00313683">
        <w:rPr>
          <w:rFonts w:cs="Arial"/>
          <w:szCs w:val="24"/>
        </w:rPr>
        <w:t>, sodium iodide (</w:t>
      </w:r>
      <w:proofErr w:type="spellStart"/>
      <w:r w:rsidR="00313683">
        <w:rPr>
          <w:rFonts w:cs="Arial"/>
          <w:szCs w:val="24"/>
        </w:rPr>
        <w:t>NaI</w:t>
      </w:r>
      <w:proofErr w:type="spellEnd"/>
      <w:r w:rsidR="00313683">
        <w:rPr>
          <w:rFonts w:cs="Arial"/>
          <w:szCs w:val="24"/>
        </w:rPr>
        <w:t>) is often added because</w:t>
      </w:r>
      <w:r w:rsidR="00960FB6">
        <w:rPr>
          <w:rFonts w:cs="Arial"/>
          <w:szCs w:val="24"/>
        </w:rPr>
        <w:t xml:space="preserve"> it increases index but</w:t>
      </w:r>
      <w:r w:rsidR="00313683">
        <w:rPr>
          <w:rFonts w:cs="Arial"/>
          <w:szCs w:val="24"/>
        </w:rPr>
        <w:t xml:space="preserve"> does not change the kinematic viscosity</w:t>
      </w:r>
      <w:r w:rsidR="00722F04">
        <w:rPr>
          <w:rFonts w:cs="Arial"/>
          <w:szCs w:val="24"/>
        </w:rPr>
        <w:t xml:space="preserve"> of the fluid</w:t>
      </w:r>
      <w:r w:rsidR="00890F37">
        <w:rPr>
          <w:rFonts w:cs="Arial"/>
          <w:szCs w:val="24"/>
        </w:rPr>
        <w:t xml:space="preserve"> </w:t>
      </w:r>
      <w:r w:rsidR="00890F37">
        <w:rPr>
          <w:rFonts w:cs="Arial"/>
          <w:szCs w:val="24"/>
        </w:rPr>
        <w:fldChar w:fldCharType="begin" w:fldLock="1"/>
      </w:r>
      <w:r w:rsidR="00215E80">
        <w:rPr>
          <w:rFonts w:cs="Arial"/>
          <w:szCs w:val="24"/>
        </w:rPr>
        <w:instrText>ADDIN CSL_CITATION {"citationItems":[{"id":"ITEM-1","itemData":{"DOI":"10.1097/01.mat.0000180353.12963.f2","ISBN":"1058-2916 (Print)\\r1058-2916 (Linking)","ISSN":"10582916","PMID":"16322719","abstract":"Red blood cell hematocrit, aggregation and deformability, and plasma protein concentration influence the viscosity and elasticity of whole blood. These parameters affect the flow properties, especially at low shear rates (&lt; 50 s(-1)). In particular, we have previously shown that the viscoelasticity of fluid affects the inlet filling characteristics and regions of flow separation in small pulsatile blood pumps. Although the viscosity of pediatric blood has been thoroughly studied, its elasticity has not been previously measured. Here we present the viscosity and elasticity of pediatric blood against shear rate for hematocrits from 19-56, measured using an oscillatory rheometer. There is little effect of patient age on blood viscoelasticity. A statistical analysis showed that when compared at constant hematocrit, blood from adult and pediatric patients had similar viscoelastic properties. We present blood analog solutions, as a function of hematocrit, constructed on the basis of the pediatric measurements. Flow field results for viscoelastic analogs of 20, 40 and 60% hematocrit and a Newtonian analog will be compared in the initial, in vitro testing of the Penn State pediatric blood pump, to determine the importance of incorporating a viscoelastic analog into the desigh interaction.","author":[{"dropping-particle":"","family":"Long","given":"Jennifer A.","non-dropping-particle":"","parse-names":false,"suffix":""},{"dropping-particle":"","family":"Ündar","given":"Akif","non-dropping-particle":"","parse-names":false,"suffix":""},{"dropping-particle":"","family":"Manning","given":"Keefe B.","non-dropping-particle":"","parse-names":false,"suffix":""},{"dropping-particle":"","family":"Deutsch","given":"Steven","non-dropping-particle":"","parse-names":false,"suffix":""}],"container-title":"ASAIO Journal","id":"ITEM-1","issue":"5","issued":{"date-parts":[["2005"]]},"page":"563-566","title":"Viscoelasticity of pediatric blood and its implications for the testing of a pulsatile pediatric blood pump","type":"article-journal","volume":"51"},"uris":["http://www.mendeley.com/documents/?uuid=5963f7aa-2064-4a25-8613-a7aa646787eb"]},{"id":"ITEM-2","itemData":{"DOI":"10.1007/s00348-016-2185-x","ISSN":"07234864","abstract":"Four commonly used refractive-index (RI)-matched Newtonian blood-analog fluids are reviewed, and different non-Newtonian blood-analogs, with RI of 1.372--1.495, are investigated. Sodium iodide (NaI), sodium thiocyanate (NaSCN) and potassium thiocyanate are used to adjust the RI of blood-analogs to that of test sections for minimizing optical distortions in particle image velocimetry data, and xanthan gum (XG) is added to the fluids to give them non-Newtonian properties (shear thinning and viscoelasticity). Our results support the general belief that adding NaI to Newtonian fluids matches the RI without changing the kinematic viscosity. However, in contrast to claims made in a few studies that did not measure rheology, our investigation revealed that adding NaI or NaSCN to XG-based non-Newtonian fluids changes the viscosity of the fluids considerably and reduces the shear-thinning property. Therefore, the RI of non-Newtonian blood-analog fluids with XG cannot be adjusted easily by varying the concentration of NaI or NaSCN and needs more careful rheological study.","author":[{"dropping-particle":"","family":"Najjari","given":"Mohammad Reza","non-dropping-particle":"","parse-names":false,"suffix":""},{"dropping-particle":"","family":"Hinke","given":"Jessica A.","non-dropping-particle":"","parse-names":false,"suffix":""},{"dropping-particle":"V.","family":"Bulusu","given":"Kartik","non-dropping-particle":"","parse-names":false,"suffix":""},{"dropping-particle":"","family":"Plesniak","given":"Michael W.","non-dropping-particle":"","parse-names":false,"suffix":""}],"container-title":"Experiments in Fluids","id":"ITEM-2","issue":"6","issued":{"date-parts":[["2016"]]},"page":"1-6","publisher":"Springer Berlin Heidelberg","title":"On the rheology of refractive-index-matched, non-Newtonian blood-analog fluids for PIV experiments","type":"article-journal","volume":"57"},"uris":["http://www.mendeley.com/documents/?uuid=776d4f56-95ad-470f-b314-f54fb103920e"]},{"id":"ITEM-3","itemData":{"DOI":"10.1007/s00348-010-0958-1","author":[{"dropping-particle":"","family":"Yousif","given":"Majid Y","non-dropping-particle":"","parse-names":false,"suffix":""},{"dropping-particle":"","family":"Holdsworth","given":"David W.","non-dropping-particle":"","parse-names":false,"suffix":""},{"dropping-particle":"","family":"Poepping","given":"Tamie L","non-dropping-particle":"","parse-names":false,"suffix":""}],"container-title":"Experiments in Fluids","id":"ITEM-3","issued":{"date-parts":[["2011"]]},"page":"769-774","title":"A blood-mimicking fluid for particle image velocimetry with silicone vascular models","type":"article-journal","volume":"50"},"uris":["http://www.mendeley.com/documents/?uuid=ed079c0a-e9e2-4f19-ad56-a64ebd54289c"]}],"mendeley":{"formattedCitation":"(Long et al. 2005; Yousif et al. 2011; Najjari et al. 2016)","plainTextFormattedCitation":"(Long et al. 2005; Yousif et al. 2011; Najjari et al. 2016)","previouslyFormattedCitation":"(Long et al. 2005; Yousif et al. 2011; Najjari et al. 2016)"},"properties":{"noteIndex":0},"schema":"https://github.com/citation-style-language/schema/raw/master/csl-citation.json"}</w:instrText>
      </w:r>
      <w:r w:rsidR="00890F37">
        <w:rPr>
          <w:rFonts w:cs="Arial"/>
          <w:szCs w:val="24"/>
        </w:rPr>
        <w:fldChar w:fldCharType="separate"/>
      </w:r>
      <w:r w:rsidR="00D000D6" w:rsidRPr="00D000D6">
        <w:rPr>
          <w:rFonts w:cs="Arial"/>
          <w:noProof/>
          <w:szCs w:val="24"/>
        </w:rPr>
        <w:t>(Long et al. 2005; Yousif et al. 2011; Najjari et al. 2016)</w:t>
      </w:r>
      <w:r w:rsidR="00890F37">
        <w:rPr>
          <w:rFonts w:cs="Arial"/>
          <w:szCs w:val="24"/>
        </w:rPr>
        <w:fldChar w:fldCharType="end"/>
      </w:r>
      <w:r w:rsidR="00313683">
        <w:rPr>
          <w:rFonts w:cs="Arial"/>
          <w:szCs w:val="24"/>
        </w:rPr>
        <w:t>.</w:t>
      </w:r>
      <w:r w:rsidR="00890F37">
        <w:rPr>
          <w:rFonts w:cs="Arial"/>
          <w:szCs w:val="24"/>
        </w:rPr>
        <w:t xml:space="preserve"> However, </w:t>
      </w:r>
      <w:proofErr w:type="spellStart"/>
      <w:r w:rsidR="00890F37">
        <w:rPr>
          <w:rFonts w:cs="Arial"/>
          <w:szCs w:val="24"/>
        </w:rPr>
        <w:t>NaI</w:t>
      </w:r>
      <w:proofErr w:type="spellEnd"/>
      <w:r w:rsidR="00890F37">
        <w:rPr>
          <w:rFonts w:cs="Arial"/>
          <w:szCs w:val="24"/>
        </w:rPr>
        <w:t xml:space="preserve"> is expensive, corrosive to equipment, and can cause discoloration of </w:t>
      </w:r>
      <w:r w:rsidR="00722F04">
        <w:rPr>
          <w:rFonts w:cs="Arial"/>
          <w:szCs w:val="24"/>
        </w:rPr>
        <w:t>material upon direct contact</w:t>
      </w:r>
      <w:r w:rsidR="00890F37">
        <w:rPr>
          <w:rFonts w:cs="Arial"/>
          <w:szCs w:val="24"/>
        </w:rPr>
        <w:t xml:space="preserve"> </w:t>
      </w:r>
      <w:r w:rsidR="00890F37">
        <w:rPr>
          <w:rFonts w:cs="Arial"/>
          <w:szCs w:val="24"/>
        </w:rPr>
        <w:fldChar w:fldCharType="begin" w:fldLock="1"/>
      </w:r>
      <w:r w:rsidR="00C90B3B">
        <w:rPr>
          <w:rFonts w:cs="Arial"/>
          <w:szCs w:val="24"/>
        </w:rPr>
        <w:instrText>ADDIN CSL_CITATION {"citationItems":[{"id":"ITEM-1","itemData":{"DOI":"10.1007/s00348-014-1704-x","ISSN":"07234864","abstract":"Refractive index matching has become a pop-ular technique for facilitating applications of modern optical diagnostic techniques, such as particle image ve-locimetry, in complex systems. By matching the refractive index of solid boundaries with that of the liquid, unob-structed optical paths can be achieved for illumination and image acquisition. In this research note, we extend previ-ously provided data for the refractive index of aqueous solutions of sodium iodide (NaI) for concentrations reaching the temperature-dependent solubility limit. Results are fitted onto a quadratic empirical expression relating the concentration to the refractive index. Tem-perature effects are also measured. The present range of indices, 1.333–1.51, covers that of typical transparent sol-ids, from silicone elastomers to several recently introduced materials that could be manufactured using rapid proto-typing. We also review briefly previous measurements of the refractive index, viscosity, and density of NaI solutions, as well as prior research that has utilized this fluid.","author":[{"dropping-particle":"","family":"Bai","given":"Kunlun","non-dropping-particle":"","parse-names":false,"suffix":""},{"dropping-particle":"","family":"Katz","given":"Joseph","non-dropping-particle":"","parse-names":false,"suffix":""}],"container-title":"Experiments in Fluids","id":"ITEM-1","issue":"4","issued":{"date-parts":[["2014"]]},"title":"On the refractive index of sodium iodide solutions for index matching in PIV","type":"article-journal","volume":"55"},"uris":["http://www.mendeley.com/documents/?uuid=98da6a05-4b06-4eb3-a8d7-f42f8feb5550","http://www.mendeley.com/documents/?uuid=3b6a109a-edf1-40ad-8c08-5f02660853f9"]},{"id":"ITEM-2","itemData":{"DOI":"10.1007/s00348-016-2185-x","ISSN":"07234864","abstract":"Four commonly used refractive-index (RI)-matched Newtonian blood-analog fluids are reviewed, and different non-Newtonian blood-analogs, with RI of 1.372--1.495, are investigated. Sodium iodide (NaI), sodium thiocyanate (NaSCN) and potassium thiocyanate are used to adjust the RI of blood-analogs to that of test sections for minimizing optical distortions in particle image velocimetry data, and xanthan gum (XG) is added to the fluids to give them non-Newtonian properties (shear thinning and viscoelasticity). Our results support the general belief that adding NaI to Newtonian fluids matches the RI without changing the kinematic viscosity. However, in contrast to claims made in a few studies that did not measure rheology, our investigation revealed that adding NaI or NaSCN to XG-based non-Newtonian fluids changes the viscosity of the fluids considerably and reduces the shear-thinning property. Therefore, the RI of non-Newtonian blood-analog fluids with XG cannot be adjusted easily by varying the concentration of NaI or NaSCN and needs more careful rheological study.","author":[{"dropping-particle":"","family":"Najjari","given":"Mohammad Reza","non-dropping-particle":"","parse-names":false,"suffix":""},{"dropping-particle":"","family":"Hinke","given":"Jessica A.","non-dropping-particle":"","parse-names":false,"suffix":""},{"dropping-particle":"V.","family":"Bulusu","given":"Kartik","non-dropping-particle":"","parse-names":false,"suffix":""},{"dropping-particle":"","family":"Plesniak","given":"Michael W.","non-dropping-particle":"","parse-names":false,"suffix":""}],"container-title":"Experiments in Fluids","id":"ITEM-2","issue":"6","issued":{"date-parts":[["2016"]]},"page":"1-6","publisher":"Springer Berlin Heidelberg","title":"On the rheology of refractive-index-matched, non-Newtonian blood-analog fluids for PIV experiments","type":"article-journal","volume":"57"},"uris":["http://www.mendeley.com/documents/?uuid=776d4f56-95ad-470f-b314-f54fb103920e"]},{"id":"ITEM-3","itemData":{"DOI":"10.1007/s00348-010-0958-1","author":[{"dropping-particle":"","family":"Yousif","given":"Majid Y","non-dropping-particle":"","parse-names":false,"suffix":""},{"dropping-particle":"","family":"Holdsworth","given":"David W.","non-dropping-particle":"","parse-names":false,"suffix":""},{"dropping-particle":"","family":"Poepping","given":"Tamie L","non-dropping-particle":"","parse-names":false,"suffix":""}],"container-title":"Experiments in Fluids","id":"ITEM-3","issued":{"date-parts":[["2011"]]},"page":"769-774","title":"A blood-mimicking fluid for particle image velocimetry with silicone vascular models","type":"article-journal","volume":"50"},"uris":["http://www.mendeley.com/documents/?uuid=ed079c0a-e9e2-4f19-ad56-a64ebd54289c"]}],"mendeley":{"formattedCitation":"(Yousif et al. 2011; Bai and Katz 2014; Najjari et al. 2016)","plainTextFormattedCitation":"(Yousif et al. 2011; Bai and Katz 2014; Najjari et al. 2016)","previouslyFormattedCitation":"(Yousif et al. 2011; Bai and Katz 2014; Najjari et al. 2016)"},"properties":{"noteIndex":0},"schema":"https://github.com/citation-style-language/schema/raw/master/csl-citation.json"}</w:instrText>
      </w:r>
      <w:r w:rsidR="00890F37">
        <w:rPr>
          <w:rFonts w:cs="Arial"/>
          <w:szCs w:val="24"/>
        </w:rPr>
        <w:fldChar w:fldCharType="separate"/>
      </w:r>
      <w:r w:rsidR="009C633A" w:rsidRPr="009C633A">
        <w:rPr>
          <w:rFonts w:cs="Arial"/>
          <w:noProof/>
          <w:szCs w:val="24"/>
        </w:rPr>
        <w:t>(Yousif et al. 2011; Bai and Katz 2014; Najjari et al. 2016)</w:t>
      </w:r>
      <w:r w:rsidR="00890F37">
        <w:rPr>
          <w:rFonts w:cs="Arial"/>
          <w:szCs w:val="24"/>
        </w:rPr>
        <w:fldChar w:fldCharType="end"/>
      </w:r>
      <w:r w:rsidR="00890F37">
        <w:rPr>
          <w:rFonts w:cs="Arial"/>
          <w:szCs w:val="24"/>
        </w:rPr>
        <w:t xml:space="preserve">. </w:t>
      </w:r>
      <w:proofErr w:type="spellStart"/>
      <w:r w:rsidR="00993E0F">
        <w:rPr>
          <w:rFonts w:cs="Arial"/>
          <w:szCs w:val="24"/>
        </w:rPr>
        <w:t>NaCl</w:t>
      </w:r>
      <w:proofErr w:type="spellEnd"/>
      <w:r w:rsidR="00993E0F">
        <w:rPr>
          <w:rFonts w:cs="Arial"/>
          <w:szCs w:val="24"/>
        </w:rPr>
        <w:t xml:space="preserve"> has also been used to increase the index of refract</w:t>
      </w:r>
      <w:r w:rsidR="001C2A6A">
        <w:rPr>
          <w:rFonts w:cs="Arial"/>
          <w:szCs w:val="24"/>
        </w:rPr>
        <w:t>ion of water-glycerol</w:t>
      </w:r>
      <w:r w:rsidR="00993E0F">
        <w:rPr>
          <w:rFonts w:cs="Arial"/>
          <w:szCs w:val="24"/>
        </w:rPr>
        <w:t>, but this increase</w:t>
      </w:r>
      <w:r>
        <w:rPr>
          <w:rFonts w:cs="Arial"/>
          <w:szCs w:val="24"/>
        </w:rPr>
        <w:t>s the</w:t>
      </w:r>
      <w:r w:rsidR="00993E0F">
        <w:rPr>
          <w:rFonts w:cs="Arial"/>
          <w:szCs w:val="24"/>
        </w:rPr>
        <w:t xml:space="preserve"> solution viscosity</w:t>
      </w:r>
      <w:r w:rsidR="009C633A">
        <w:rPr>
          <w:rFonts w:cs="Arial"/>
          <w:szCs w:val="24"/>
        </w:rPr>
        <w:t xml:space="preserve"> </w:t>
      </w:r>
      <w:r w:rsidR="00960FB6">
        <w:rPr>
          <w:rFonts w:cs="Arial"/>
          <w:szCs w:val="24"/>
        </w:rPr>
        <w:t xml:space="preserve">above that of blood </w:t>
      </w:r>
      <w:r w:rsidR="009C633A">
        <w:rPr>
          <w:rFonts w:cs="Arial"/>
          <w:szCs w:val="24"/>
        </w:rPr>
        <w:fldChar w:fldCharType="begin" w:fldLock="1"/>
      </w:r>
      <w:r w:rsidR="00C90B3B">
        <w:rPr>
          <w:rFonts w:cs="Arial"/>
          <w:szCs w:val="24"/>
        </w:rPr>
        <w:instrText>ADDIN CSL_CITATION {"citationItems":[{"id":"ITEM-1","itemData":{"ISSN":"2010376X","abstract":"Cardiovascular disease mostly in the form of atherosclerosis is responsible for 30% of all world deaths amounting to 17 million people per year. Atherosclerosis is due to the formation of plaque. The fatty plaque may be at risk of rupture, leading typically to stroke and heart attack. The plaque is usually associated with a high degree of lumen reduction, called a stenosis. The initiation and progression of the disease is strongly linked to the hemodynamic environment near the vessel wall. The aim of this study is to validate the flow of blood mimic through an arterial stenosis model with computational fluid dynamics (CFD) package. In experiment, an axisymmetric model constructed consists of contraction and expansion region that follow a mathematical form of cosine function. A 30% diameter reduction was used in this study. Particle image velocimetry (PIV) was used to characterize the flow. The fluid consists of rigid spherical particles suspended in waterglycerol- NaCl mixture. The particles with 20 μm diameter were selected to follow the flow of fluid. The flow at Re=155, 270 and 390 were investigated. The experimental result is compared with FLUENT simulated flow that account for viscous laminar flow model. The results suggest that laminar flow model was sufficient to predict flow velocity at the inlet but the velocity at stenosis throat at Re =390 was overestimated. Hence, a transition to turbulent regime might have been developed at throat region as the flow rate increases.","author":[{"dropping-particle":"","family":"Shuib","given":"Anis S","non-dropping-particle":"","parse-names":false,"suffix":""},{"dropping-particle":"","family":"Hoskins","given":"Peter R","non-dropping-particle":"","parse-names":false,"suffix":""},{"dropping-particle":"","family":"Easson","given":"William J","non-dropping-particle":"","parse-names":false,"suffix":""},{"dropping-particle":"","family":"Model","given":"A Stenosis Artery","non-dropping-particle":"","parse-names":false,"suffix":""}],"id":"ITEM-1","issue":"2","issued":{"date-parts":[["2010"]]},"page":"87-91","title":"Flow Regime Characterization in a Diseased Artery Model","type":"article-journal","volume":"4"},"uris":["http://www.mendeley.com/documents/?uuid=3b244d48-d469-4da4-956e-26f840a376fe","http://www.mendeley.com/documents/?uuid=33495aa9-7a25-47a3-854f-bf8e2890550a"]}],"mendeley":{"formattedCitation":"(Shuib et al. 2010)","plainTextFormattedCitation":"(Shuib et al. 2010)","previouslyFormattedCitation":"(Shuib et al. 2010)"},"properties":{"noteIndex":0},"schema":"https://github.com/citation-style-language/schema/raw/master/csl-citation.json"}</w:instrText>
      </w:r>
      <w:r w:rsidR="009C633A">
        <w:rPr>
          <w:rFonts w:cs="Arial"/>
          <w:szCs w:val="24"/>
        </w:rPr>
        <w:fldChar w:fldCharType="separate"/>
      </w:r>
      <w:r w:rsidR="009C633A" w:rsidRPr="009C633A">
        <w:rPr>
          <w:rFonts w:cs="Arial"/>
          <w:noProof/>
          <w:szCs w:val="24"/>
        </w:rPr>
        <w:t>(Shuib et al. 2010)</w:t>
      </w:r>
      <w:r w:rsidR="009C633A">
        <w:rPr>
          <w:rFonts w:cs="Arial"/>
          <w:szCs w:val="24"/>
        </w:rPr>
        <w:fldChar w:fldCharType="end"/>
      </w:r>
      <w:r w:rsidR="009C633A">
        <w:rPr>
          <w:rFonts w:cs="Arial"/>
          <w:szCs w:val="24"/>
        </w:rPr>
        <w:t>.</w:t>
      </w:r>
      <w:r w:rsidR="00993E0F">
        <w:rPr>
          <w:rFonts w:cs="Arial"/>
          <w:szCs w:val="24"/>
        </w:rPr>
        <w:t xml:space="preserve"> </w:t>
      </w:r>
      <w:proofErr w:type="spellStart"/>
      <w:r w:rsidR="0043333D">
        <w:rPr>
          <w:rFonts w:cs="Arial"/>
          <w:szCs w:val="24"/>
        </w:rPr>
        <w:t>Najjari</w:t>
      </w:r>
      <w:proofErr w:type="spellEnd"/>
      <w:r w:rsidR="0043333D">
        <w:rPr>
          <w:rFonts w:cs="Arial"/>
          <w:szCs w:val="24"/>
        </w:rPr>
        <w:t xml:space="preserve"> et al. </w:t>
      </w:r>
      <w:r w:rsidR="00993E0F">
        <w:rPr>
          <w:rFonts w:cs="Arial"/>
          <w:szCs w:val="24"/>
        </w:rPr>
        <w:t>(2016) tested sodium thiocyanate (</w:t>
      </w:r>
      <w:proofErr w:type="spellStart"/>
      <w:r w:rsidR="00993E0F">
        <w:rPr>
          <w:rFonts w:cs="Arial"/>
          <w:szCs w:val="24"/>
        </w:rPr>
        <w:t>NaSCN</w:t>
      </w:r>
      <w:proofErr w:type="spellEnd"/>
      <w:r w:rsidR="00993E0F">
        <w:rPr>
          <w:rFonts w:cs="Arial"/>
          <w:szCs w:val="24"/>
        </w:rPr>
        <w:t>) and potassium thiocyanate (KSCN) as additives to water-</w:t>
      </w:r>
      <w:r w:rsidR="001C2A6A">
        <w:rPr>
          <w:rFonts w:cs="Arial"/>
          <w:szCs w:val="24"/>
        </w:rPr>
        <w:t>glycerol</w:t>
      </w:r>
      <w:r>
        <w:rPr>
          <w:rFonts w:cs="Arial"/>
          <w:szCs w:val="24"/>
        </w:rPr>
        <w:t xml:space="preserve">, but safety of both </w:t>
      </w:r>
      <w:r w:rsidR="009244E2">
        <w:rPr>
          <w:rFonts w:cs="Arial"/>
          <w:szCs w:val="24"/>
        </w:rPr>
        <w:lastRenderedPageBreak/>
        <w:t>chemicals</w:t>
      </w:r>
      <w:r w:rsidR="00722F04">
        <w:rPr>
          <w:rFonts w:cs="Arial"/>
          <w:szCs w:val="24"/>
        </w:rPr>
        <w:t xml:space="preserve"> </w:t>
      </w:r>
      <w:r>
        <w:rPr>
          <w:rFonts w:cs="Arial"/>
          <w:szCs w:val="24"/>
        </w:rPr>
        <w:t>is a concern</w:t>
      </w:r>
      <w:r w:rsidR="007E0631">
        <w:rPr>
          <w:rFonts w:cs="Arial"/>
          <w:szCs w:val="24"/>
        </w:rPr>
        <w:t>,</w:t>
      </w:r>
      <w:r>
        <w:rPr>
          <w:rFonts w:cs="Arial"/>
          <w:szCs w:val="24"/>
        </w:rPr>
        <w:t xml:space="preserve"> particularly when heated</w:t>
      </w:r>
      <w:r w:rsidR="00993E0F">
        <w:rPr>
          <w:rFonts w:cs="Arial"/>
          <w:szCs w:val="24"/>
        </w:rPr>
        <w:t>. Other p</w:t>
      </w:r>
      <w:r w:rsidR="00662215">
        <w:rPr>
          <w:rFonts w:cs="Arial"/>
          <w:szCs w:val="24"/>
        </w:rPr>
        <w:t>roposed Newtonian blood analog</w:t>
      </w:r>
      <w:r w:rsidR="00993E0F">
        <w:rPr>
          <w:rFonts w:cs="Arial"/>
          <w:szCs w:val="24"/>
        </w:rPr>
        <w:t xml:space="preserve"> solutions includ</w:t>
      </w:r>
      <w:r w:rsidR="00A94DE3">
        <w:rPr>
          <w:rFonts w:cs="Arial"/>
          <w:szCs w:val="24"/>
        </w:rPr>
        <w:t xml:space="preserve">e a mixture of ethanol and </w:t>
      </w:r>
      <w:proofErr w:type="spellStart"/>
      <w:r w:rsidR="00A94DE3">
        <w:rPr>
          <w:rFonts w:cs="Arial"/>
          <w:szCs w:val="24"/>
        </w:rPr>
        <w:t>diethylphthalate</w:t>
      </w:r>
      <w:proofErr w:type="spellEnd"/>
      <w:r w:rsidR="00A94DE3">
        <w:rPr>
          <w:rFonts w:cs="Arial"/>
          <w:szCs w:val="24"/>
        </w:rPr>
        <w:t xml:space="preserve"> </w:t>
      </w:r>
      <w:r w:rsidR="00A94DE3">
        <w:rPr>
          <w:rFonts w:cs="Arial"/>
          <w:szCs w:val="24"/>
        </w:rPr>
        <w:fldChar w:fldCharType="begin" w:fldLock="1"/>
      </w:r>
      <w:r w:rsidR="00B900BF">
        <w:rPr>
          <w:rFonts w:cs="Arial"/>
          <w:szCs w:val="24"/>
        </w:rPr>
        <w:instrText>ADDIN CSL_CITATION {"citationItems":[{"id":"ITEM-1","itemData":{"DOI":"10.1115/1.1785812","ISBN":"0148-0731","ISSN":"0148-0731","PMID":"15543873","abstract":"In this work, we propose a simple method to simultaneously match the refractive index and kinematic viscosity of a circulating blood analog in hydraulic models for optical flow measurement tech-niques (PIV, PMFV, LDA, and LIF). The method is based on the determination of the volumetric proportions and temperature at which two transparent miscible liquids should be mixed to repro-duce the targeted fluid characteristics. The temperature depen-dence models are a linear relation for the refractive index and an Arrhenius relation for the dynamic viscosity of each liquid. Then the dynamic viscosity of the mixture is represented with a Grunberg-Nissan model of type 1. Experimental tests for acrylic and blood viscosity were found to be in very good agreement with the targeted values (measured refractive index of 1.486 and kine-matic viscosity of 3.454 milli-m 2 /s with targeted values of 1.47 and 3.300 milli-m 2 /s).","author":[{"dropping-particle":"","family":"Nguyen","given":"T. T.","non-dropping-particle":"","parse-names":false,"suffix":""}],"container-title":"Journal of Biomechanical Engineering","id":"ITEM-1","issue":"4","issued":{"date-parts":[["2004"]]},"page":"529","title":"A Method for Matching the Refractive Index and Kinematic Viscosity of a Blood Analog for Flow Visualization in Hydraulic Cardiovascular Models","type":"article-journal","volume":"126"},"uris":["http://www.mendeley.com/documents/?uuid=36593aa5-44c6-4ccd-8fd0-2a2427b591dc","http://www.mendeley.com/documents/?uuid=c4370e63-6e34-43a3-9cb7-4f281c453b4a"]}],"mendeley":{"formattedCitation":"(Nguyen 2004)","plainTextFormattedCitation":"(Nguyen 2004)","previouslyFormattedCitation":"(Nguyen 2004)"},"properties":{"noteIndex":0},"schema":"https://github.com/citation-style-language/schema/raw/master/csl-citation.json"}</w:instrText>
      </w:r>
      <w:r w:rsidR="00A94DE3">
        <w:rPr>
          <w:rFonts w:cs="Arial"/>
          <w:szCs w:val="24"/>
        </w:rPr>
        <w:fldChar w:fldCharType="separate"/>
      </w:r>
      <w:r w:rsidR="00A94DE3" w:rsidRPr="00A94DE3">
        <w:rPr>
          <w:rFonts w:cs="Arial"/>
          <w:noProof/>
          <w:szCs w:val="24"/>
        </w:rPr>
        <w:t>(Nguyen 2004)</w:t>
      </w:r>
      <w:r w:rsidR="00A94DE3">
        <w:rPr>
          <w:rFonts w:cs="Arial"/>
          <w:szCs w:val="24"/>
        </w:rPr>
        <w:fldChar w:fldCharType="end"/>
      </w:r>
      <w:r w:rsidR="00A94DE3">
        <w:rPr>
          <w:rFonts w:cs="Arial"/>
          <w:szCs w:val="24"/>
        </w:rPr>
        <w:t xml:space="preserve"> and a mixture of isopropyl alcohol and </w:t>
      </w:r>
      <w:r w:rsidR="008E7D9C">
        <w:rPr>
          <w:rFonts w:cs="Arial"/>
          <w:szCs w:val="24"/>
        </w:rPr>
        <w:t>glycerol</w:t>
      </w:r>
      <w:r w:rsidR="00A94DE3">
        <w:rPr>
          <w:rFonts w:cs="Arial"/>
          <w:szCs w:val="24"/>
        </w:rPr>
        <w:t xml:space="preserve"> </w:t>
      </w:r>
      <w:r w:rsidR="002656C3">
        <w:rPr>
          <w:rFonts w:cs="Arial"/>
          <w:szCs w:val="24"/>
        </w:rPr>
        <w:fldChar w:fldCharType="begin" w:fldLock="1"/>
      </w:r>
      <w:r w:rsidR="00C90B3B">
        <w:rPr>
          <w:rFonts w:cs="Arial"/>
          <w:szCs w:val="24"/>
        </w:rPr>
        <w:instrText>ADDIN CSL_CITATION {"citationItems":[{"id":"ITEM-1","itemData":{"DOI":"10.1115/1.1537734","ISBN":"0148-0731","ISSN":"01480731","PMID":"12661195","abstract":"Extensive flow studies are conducted in two carotid bifurcation flow phantoms. These phantoms exactly replicate the lumen of the plaque excised intact from two patients with severe carotid atherosclerosis. The input flow into the phantom's common carotid artery is steady. Novel scanning techniques for flow visualization and particle image velocimetry are used. In addition, a novel boundary treatment technique is employed in velocimetry to extract first order accurate velocity gradients at walls. The data show that the flow fields are highly three-dimensional. Numerous separation and recirculation zones dominate the flow domain, except at the lowest Reynolds numbers. The separation regions are often so severe that highly directed internal jets form. At high Reynolds numbers, the flows become unsteady and chaotic, even though the input flow is steady. Flow fields have large regions of energetic flow and almost stagnant recirculation zones. These recirculation zones range in size from the full size of the arteries to zones within crevasses smaller than 1 mm. Velocity field and streamline patterns conform well to the lumen geometry. The streamlines are highly tortuous. Stagnation points correlate well with the topological features of the stenosis. Vorticity maps confirm the highly complex and three dimensional nature of the flow. Wall shear stresses at the stenoses are estimated to be on the order of 10 Pa. These studies conclusively show that the nature of the flow in the diseased bifurcation is primarily dictated by the lumen geometry.","author":[{"dropping-particle":"","family":"Bale-Glickman","given":"J.","non-dropping-particle":"","parse-names":false,"suffix":""},{"dropping-particle":"","family":"Selby","given":"K.","non-dropping-particle":"","parse-names":false,"suffix":""},{"dropping-particle":"","family":"Saloner","given":"D.","non-dropping-particle":"","parse-names":false,"suffix":""},{"dropping-particle":"","family":"Savaş","given":"Ö.","non-dropping-particle":"","parse-names":false,"suffix":""}],"container-title":"Journal of Biomechanical Engineering","id":"ITEM-1","issue":"1","issued":{"date-parts":[["2003"]]},"page":"38","title":"Experimental Flow Studies in Exact-Replica Phantoms of Atherosclerotic Carotid Bifurcations Under Steady Input Conditions","type":"article-journal","volume":"125"},"uris":["http://www.mendeley.com/documents/?uuid=ebbd53ee-ebe7-4542-be4d-cffc79fcaa05","http://www.mendeley.com/documents/?uuid=8d2fb4b6-d40c-4aa6-bb4c-d86d9df3bb5e"]}],"mendeley":{"formattedCitation":"(Bale-Glickman et al. 2003)","plainTextFormattedCitation":"(Bale-Glickman et al. 2003)","previouslyFormattedCitation":"(Bale-Glickman et al. 2003)"},"properties":{"noteIndex":0},"schema":"https://github.com/citation-style-language/schema/raw/master/csl-citation.json"}</w:instrText>
      </w:r>
      <w:r w:rsidR="002656C3">
        <w:rPr>
          <w:rFonts w:cs="Arial"/>
          <w:szCs w:val="24"/>
        </w:rPr>
        <w:fldChar w:fldCharType="separate"/>
      </w:r>
      <w:r w:rsidR="002656C3" w:rsidRPr="002656C3">
        <w:rPr>
          <w:rFonts w:cs="Arial"/>
          <w:noProof/>
          <w:szCs w:val="24"/>
        </w:rPr>
        <w:t>(Bale-Glickman et al. 2003)</w:t>
      </w:r>
      <w:r w:rsidR="002656C3">
        <w:rPr>
          <w:rFonts w:cs="Arial"/>
          <w:szCs w:val="24"/>
        </w:rPr>
        <w:fldChar w:fldCharType="end"/>
      </w:r>
      <w:r w:rsidR="002656C3">
        <w:rPr>
          <w:rFonts w:cs="Arial"/>
          <w:szCs w:val="24"/>
        </w:rPr>
        <w:t>.</w:t>
      </w:r>
      <w:r w:rsidR="007E0631">
        <w:rPr>
          <w:rFonts w:cs="Arial"/>
          <w:szCs w:val="24"/>
        </w:rPr>
        <w:t xml:space="preserve"> However, alcohols have densities lower than water (and thus bloo</w:t>
      </w:r>
      <w:r w:rsidR="008E7D9C">
        <w:rPr>
          <w:rFonts w:cs="Arial"/>
          <w:szCs w:val="24"/>
        </w:rPr>
        <w:t xml:space="preserve">d) </w:t>
      </w:r>
      <w:r w:rsidR="007E0631">
        <w:rPr>
          <w:rFonts w:cs="Arial"/>
          <w:szCs w:val="24"/>
        </w:rPr>
        <w:t xml:space="preserve">and </w:t>
      </w:r>
      <w:r w:rsidR="003E63F6">
        <w:rPr>
          <w:rFonts w:cs="Arial"/>
          <w:szCs w:val="24"/>
        </w:rPr>
        <w:t>are flam</w:t>
      </w:r>
      <w:r w:rsidR="00C25131">
        <w:rPr>
          <w:rFonts w:cs="Arial"/>
          <w:szCs w:val="24"/>
        </w:rPr>
        <w:t>m</w:t>
      </w:r>
      <w:r w:rsidR="003E63F6">
        <w:rPr>
          <w:rFonts w:cs="Arial"/>
          <w:szCs w:val="24"/>
        </w:rPr>
        <w:t>able</w:t>
      </w:r>
      <w:r w:rsidR="00C25131">
        <w:rPr>
          <w:rFonts w:cs="Arial"/>
          <w:szCs w:val="24"/>
        </w:rPr>
        <w:t>,</w:t>
      </w:r>
      <w:r w:rsidR="007E0631">
        <w:rPr>
          <w:rFonts w:cs="Arial"/>
          <w:szCs w:val="24"/>
        </w:rPr>
        <w:t xml:space="preserve"> present</w:t>
      </w:r>
      <w:r w:rsidR="003E63F6">
        <w:rPr>
          <w:rFonts w:cs="Arial"/>
          <w:szCs w:val="24"/>
        </w:rPr>
        <w:t>ing</w:t>
      </w:r>
      <w:r w:rsidR="007E0631">
        <w:rPr>
          <w:rFonts w:cs="Arial"/>
          <w:szCs w:val="24"/>
        </w:rPr>
        <w:t xml:space="preserve"> safety issues for us</w:t>
      </w:r>
      <w:r w:rsidR="008E7D9C">
        <w:rPr>
          <w:rFonts w:cs="Arial"/>
          <w:szCs w:val="24"/>
        </w:rPr>
        <w:t>e with high-power lasers</w:t>
      </w:r>
      <w:r w:rsidR="007E0631">
        <w:rPr>
          <w:rFonts w:cs="Arial"/>
          <w:szCs w:val="24"/>
        </w:rPr>
        <w:t>.</w:t>
      </w:r>
      <w:r w:rsidR="00D55084">
        <w:rPr>
          <w:rFonts w:cs="Arial"/>
          <w:szCs w:val="24"/>
        </w:rPr>
        <w:t xml:space="preserve"> </w:t>
      </w:r>
    </w:p>
    <w:p w14:paraId="7C6AFDE4" w14:textId="3711EB2A" w:rsidR="005A2649" w:rsidRDefault="0043333D" w:rsidP="00D55084">
      <w:pPr>
        <w:ind w:firstLine="630"/>
        <w:rPr>
          <w:rFonts w:cs="Arial"/>
          <w:szCs w:val="24"/>
        </w:rPr>
      </w:pPr>
      <w:r>
        <w:rPr>
          <w:rFonts w:cs="Arial"/>
          <w:szCs w:val="24"/>
        </w:rPr>
        <w:t xml:space="preserve">Among Newtonian blood </w:t>
      </w:r>
      <w:r w:rsidR="00662215">
        <w:rPr>
          <w:rFonts w:cs="Arial"/>
          <w:szCs w:val="24"/>
        </w:rPr>
        <w:t>analog</w:t>
      </w:r>
      <w:r>
        <w:rPr>
          <w:rFonts w:cs="Arial"/>
          <w:szCs w:val="24"/>
        </w:rPr>
        <w:t xml:space="preserve"> solutions, fluid density is rarely considered.</w:t>
      </w:r>
      <w:r w:rsidR="00890F37">
        <w:rPr>
          <w:rFonts w:cs="Arial"/>
          <w:szCs w:val="24"/>
        </w:rPr>
        <w:t xml:space="preserve"> </w:t>
      </w:r>
      <w:r>
        <w:rPr>
          <w:rFonts w:cs="Arial"/>
          <w:szCs w:val="24"/>
        </w:rPr>
        <w:t>For example, t</w:t>
      </w:r>
      <w:r w:rsidR="00890F37">
        <w:rPr>
          <w:rFonts w:cs="Arial"/>
          <w:szCs w:val="24"/>
        </w:rPr>
        <w:t>he density of water-</w:t>
      </w:r>
      <w:r w:rsidR="001C2A6A">
        <w:rPr>
          <w:rFonts w:cs="Arial"/>
          <w:szCs w:val="24"/>
        </w:rPr>
        <w:t>glycerol</w:t>
      </w:r>
      <w:r w:rsidR="00890F37">
        <w:rPr>
          <w:rFonts w:cs="Arial"/>
          <w:szCs w:val="24"/>
        </w:rPr>
        <w:t>-</w:t>
      </w:r>
      <w:proofErr w:type="spellStart"/>
      <w:r w:rsidR="00890F37">
        <w:rPr>
          <w:rFonts w:cs="Arial"/>
          <w:szCs w:val="24"/>
        </w:rPr>
        <w:t>NaI</w:t>
      </w:r>
      <w:proofErr w:type="spellEnd"/>
      <w:r w:rsidR="00890F37">
        <w:rPr>
          <w:rFonts w:cs="Arial"/>
          <w:szCs w:val="24"/>
        </w:rPr>
        <w:t xml:space="preserve"> solutions</w:t>
      </w:r>
      <w:r w:rsidR="00410674">
        <w:rPr>
          <w:rFonts w:cs="Arial"/>
          <w:szCs w:val="24"/>
        </w:rPr>
        <w:t xml:space="preserve"> matching the RI of </w:t>
      </w:r>
      <w:proofErr w:type="spellStart"/>
      <w:r w:rsidR="00410674">
        <w:rPr>
          <w:rFonts w:cs="Arial"/>
          <w:szCs w:val="24"/>
        </w:rPr>
        <w:t>Sylgard</w:t>
      </w:r>
      <w:proofErr w:type="spellEnd"/>
      <w:r w:rsidR="00410674">
        <w:rPr>
          <w:rFonts w:cs="Arial"/>
          <w:szCs w:val="24"/>
        </w:rPr>
        <w:t xml:space="preserve"> 184</w:t>
      </w:r>
      <w:r w:rsidR="00890F37">
        <w:rPr>
          <w:rFonts w:cs="Arial"/>
          <w:szCs w:val="24"/>
        </w:rPr>
        <w:t xml:space="preserve"> is typically about 1250 kg/m</w:t>
      </w:r>
      <w:r w:rsidR="00890F37">
        <w:rPr>
          <w:rFonts w:cs="Arial"/>
          <w:szCs w:val="24"/>
          <w:vertAlign w:val="superscript"/>
        </w:rPr>
        <w:t>3</w:t>
      </w:r>
      <w:r w:rsidR="00890F37">
        <w:rPr>
          <w:rFonts w:cs="Arial"/>
          <w:szCs w:val="24"/>
        </w:rPr>
        <w:t xml:space="preserve"> </w:t>
      </w:r>
      <w:r w:rsidR="00890F37">
        <w:rPr>
          <w:rFonts w:cs="Arial"/>
          <w:szCs w:val="24"/>
        </w:rPr>
        <w:fldChar w:fldCharType="begin" w:fldLock="1"/>
      </w:r>
      <w:r w:rsidR="00C90B3B">
        <w:rPr>
          <w:rFonts w:cs="Arial"/>
          <w:szCs w:val="24"/>
        </w:rPr>
        <w:instrText>ADDIN CSL_CITATION {"citationItems":[{"id":"ITEM-1","itemData":{"DOI":"10.1007/s00348-016-2185-x","ISSN":"07234864","abstract":"Four commonly used refractive-index (RI)-matched Newtonian blood-analog fluids are reviewed, and different non-Newtonian blood-analogs, with RI of 1.372--1.495, are investigated. Sodium iodide (NaI), sodium thiocyanate (NaSCN) and potassium thiocyanate are used to adjust the RI of blood-analogs to that of test sections for minimizing optical distortions in particle image velocimetry data, and xanthan gum (XG) is added to the fluids to give them non-Newtonian properties (shear thinning and viscoelasticity). Our results support the general belief that adding NaI to Newtonian fluids matches the RI without changing the kinematic viscosity. However, in contrast to claims made in a few studies that did not measure rheology, our investigation revealed that adding NaI or NaSCN to XG-based non-Newtonian fluids changes the viscosity of the fluids considerably and reduces the shear-thinning property. Therefore, the RI of non-Newtonian blood-analog fluids with XG cannot be adjusted easily by varying the concentration of NaI or NaSCN and needs more careful rheological study.","author":[{"dropping-particle":"","family":"Najjari","given":"Mohammad Reza","non-dropping-particle":"","parse-names":false,"suffix":""},{"dropping-particle":"","family":"Hinke","given":"Jessica A.","non-dropping-particle":"","parse-names":false,"suffix":""},{"dropping-particle":"V.","family":"Bulusu","given":"Kartik","non-dropping-particle":"","parse-names":false,"suffix":""},{"dropping-particle":"","family":"Plesniak","given":"Michael W.","non-dropping-particle":"","parse-names":false,"suffix":""}],"container-title":"Experiments in Fluids","id":"ITEM-1","issue":"6","issued":{"date-parts":[["2016"]]},"page":"1-6","publisher":"Springer Berlin Heidelberg","title":"On the rheology of refractive-index-matched, non-Newtonian blood-analog fluids for PIV experiments","type":"article-journal","volume":"57"},"uris":["http://www.mendeley.com/documents/?uuid=776d4f56-95ad-470f-b314-f54fb103920e"]},{"id":"ITEM-2","itemData":{"DOI":"10.1007/s00348-017-2386-y","ISBN":"0034801723","ISSN":"07234864","abstract":"© 2017, The Author(s). Experimental techniques based on optical measurement principles have experienced significant growth in recent decades. They are able to provide detailed information with high-spatiotemporal resolution on important scalar (e.g., temperature, concentration, and phase) and vector (e.g., velocity) fields in single-phase or multiphase flows, as well as interfacial characteristics in the latter, which has been instrumental to step-changes in our fundamental understanding of these flows, and the development and validation of advanced models with ever-improving predictive accuracy and reliability. Relevant techniques rely upon well-established optical methods such as direct photography, laser-induced fluorescence, laser Doppler velocimetry/phase Doppler anemometry, particle image/tracking velocimetry, and variants thereof. The accuracy of the resulting data depends on numerous factors including, importantly, the refractive indices of the solids and liquids used. The best results are obtained when the observational materials have closely matched refractive indices, including test-section walls, liquid phases, and any suspended particles. This paper reviews solid–liquid and solid–liquid–liquid refractive-index-matched systems employed in different fields, e.g., multiphase flows, turbomachinery, bio-fluid flows, with an emphasis on liquid–liquid systems. The refractive indices of various aqueous and organic phases found in the literature span the range 1.330–1.620 and 1.251–1.637, respectively, allowing the identification of appropriate combinations to match selected transparent or translucent plastics/polymers, glasses, or custom materials in single-phase liquid or multiphase liquid–liquid flow systems. In addition, the refractive indices of fluids can be further tuned with the use of additives, which also allows for the matching of important flow similarity parameters such as density and viscosity.","author":[{"dropping-particle":"","family":"Wright","given":"Stuart F.","non-dropping-particle":"","parse-names":false,"suffix":""},{"dropping-particle":"","family":"Zadrazil","given":"Ivan","non-dropping-particle":"","parse-names":false,"suffix":""},{"dropping-particle":"","family":"Markides","given":"Christos N.","non-dropping-particle":"","parse-names":false,"suffix":""}],"container-title":"Experiments in Fluids","id":"ITEM-2","issue":"9","issued":{"date-parts":[["2017"]]},"number-of-pages":"1-39","publisher":"Springer Berlin Heidelberg","title":"A review of solid–fluid selection options for optical-based measurements in single-phase liquid, two-phase liquid–liquid and multiphase solid–liquid flows","type":"book","volume":"58"},"uris":["http://www.mendeley.com/documents/?uuid=601c1b7e-95b1-4202-a447-8586039dff14","http://www.mendeley.com/documents/?uuid=ea3aa6f4-30b2-4666-a15c-67ceef2cb0a3"]},{"id":"ITEM-3","itemData":{"DOI":"10.1007/s10439-018-2085-8","ISSN":"0090-6964","author":[{"dropping-particle":"","family":"Yazdi","given":"Sina G.","non-dropping-particle":"","parse-names":false,"suffix":""},{"dropping-particle":"","family":"Geoghegan","given":"P. H.","non-dropping-particle":"","parse-names":false,"suffix":""},{"dropping-particle":"","family":"Docherty","given":"P. D.","non-dropping-particle":"","parse-names":false,"suffix":""},{"dropping-particle":"","family":"Jermy","given":"Mark","non-dropping-particle":"","parse-names":false,"suffix":""},{"dropping-particle":"","family":"Khanafer","given":"Adib","non-dropping-particle":"","parse-names":false,"suffix":""}],"container-title":"Annals of Biomedical Engineering","id":"ITEM-3","issued":{"date-parts":[["2018"]]},"title":"A Review of Arterial Phantom Fabrication Methods for Flow Measurement Using PIV Techniques","type":"article-journal"},"uris":["http://www.mendeley.com/documents/?uuid=8a66cb7a-20da-4429-80c2-18427fbe1da8","http://www.mendeley.com/documents/?uuid=8c8cf85c-c830-416c-9b75-7c2e619932ef","http://www.mendeley.com/documents/?uuid=228ad78f-19fa-432e-aba1-41ae3ecfe663"]}],"mendeley":{"formattedCitation":"(Najjari et al. 2016; Wright et al. 2017; Yazdi et al. 2018)","plainTextFormattedCitation":"(Najjari et al. 2016; Wright et al. 2017; Yazdi et al. 2018)","previouslyFormattedCitation":"(Najjari et al. 2016; Wright et al. 2017; Yazdi et al. 2018)"},"properties":{"noteIndex":0},"schema":"https://github.com/citation-style-language/schema/raw/master/csl-citation.json"}</w:instrText>
      </w:r>
      <w:r w:rsidR="00890F37">
        <w:rPr>
          <w:rFonts w:cs="Arial"/>
          <w:szCs w:val="24"/>
        </w:rPr>
        <w:fldChar w:fldCharType="separate"/>
      </w:r>
      <w:r w:rsidR="00890F37" w:rsidRPr="00890F37">
        <w:rPr>
          <w:rFonts w:cs="Arial"/>
          <w:noProof/>
          <w:szCs w:val="24"/>
        </w:rPr>
        <w:t>(Najjari et al. 2016; Wright et al. 2017; Yazdi et al. 2018)</w:t>
      </w:r>
      <w:r w:rsidR="00890F37">
        <w:rPr>
          <w:rFonts w:cs="Arial"/>
          <w:szCs w:val="24"/>
        </w:rPr>
        <w:fldChar w:fldCharType="end"/>
      </w:r>
      <w:r w:rsidR="00890F37">
        <w:rPr>
          <w:rFonts w:cs="Arial"/>
          <w:szCs w:val="24"/>
        </w:rPr>
        <w:t>, substantially higher than the density of blood</w:t>
      </w:r>
      <w:r>
        <w:rPr>
          <w:rFonts w:cs="Arial"/>
          <w:szCs w:val="24"/>
        </w:rPr>
        <w:t xml:space="preserve">. </w:t>
      </w:r>
      <w:proofErr w:type="spellStart"/>
      <w:r w:rsidR="00D55084">
        <w:rPr>
          <w:rFonts w:cs="Arial"/>
          <w:szCs w:val="24"/>
        </w:rPr>
        <w:t>NaI</w:t>
      </w:r>
      <w:proofErr w:type="spellEnd"/>
      <w:r w:rsidR="00D55084">
        <w:rPr>
          <w:rFonts w:cs="Arial"/>
          <w:szCs w:val="24"/>
        </w:rPr>
        <w:t xml:space="preserve"> is often added because of the convenience of not changing the viscosity, but its high density</w:t>
      </w:r>
      <w:r>
        <w:rPr>
          <w:rFonts w:cs="Arial"/>
          <w:szCs w:val="24"/>
        </w:rPr>
        <w:t xml:space="preserve"> </w:t>
      </w:r>
      <w:r w:rsidR="00D55084">
        <w:rPr>
          <w:rFonts w:cs="Arial"/>
          <w:szCs w:val="24"/>
        </w:rPr>
        <w:t xml:space="preserve">increases fluid density significantly, </w:t>
      </w:r>
      <w:r>
        <w:rPr>
          <w:rFonts w:cs="Arial"/>
          <w:szCs w:val="24"/>
        </w:rPr>
        <w:t xml:space="preserve">a concern for PIV studies where tracer particles must be neutrally buoyant. </w:t>
      </w:r>
      <w:r w:rsidR="00EA54A7">
        <w:rPr>
          <w:rFonts w:cs="Arial"/>
          <w:szCs w:val="24"/>
        </w:rPr>
        <w:t>While water-</w:t>
      </w:r>
      <w:r w:rsidR="001C2A6A">
        <w:rPr>
          <w:rFonts w:cs="Arial"/>
          <w:szCs w:val="24"/>
        </w:rPr>
        <w:t>glycerol</w:t>
      </w:r>
      <w:r w:rsidR="00EA54A7">
        <w:rPr>
          <w:rFonts w:cs="Arial"/>
          <w:szCs w:val="24"/>
        </w:rPr>
        <w:t>-</w:t>
      </w:r>
      <w:proofErr w:type="spellStart"/>
      <w:r w:rsidR="00EA54A7">
        <w:rPr>
          <w:rFonts w:cs="Arial"/>
          <w:szCs w:val="24"/>
        </w:rPr>
        <w:t>NaI</w:t>
      </w:r>
      <w:proofErr w:type="spellEnd"/>
      <w:r w:rsidR="00EA54A7">
        <w:rPr>
          <w:rFonts w:cs="Arial"/>
          <w:szCs w:val="24"/>
        </w:rPr>
        <w:t xml:space="preserve"> solutions can simultaneously match the </w:t>
      </w:r>
      <w:r w:rsidR="00D55084">
        <w:rPr>
          <w:rFonts w:cs="Arial"/>
          <w:szCs w:val="24"/>
        </w:rPr>
        <w:t>RI</w:t>
      </w:r>
      <w:r w:rsidR="00EA54A7">
        <w:rPr>
          <w:rFonts w:cs="Arial"/>
          <w:szCs w:val="24"/>
        </w:rPr>
        <w:t xml:space="preserve"> of PDMS and viscosity of blood, it is not able to simultaneously match </w:t>
      </w:r>
      <w:r w:rsidR="00D454CB">
        <w:rPr>
          <w:rFonts w:cs="Arial"/>
          <w:szCs w:val="24"/>
        </w:rPr>
        <w:t xml:space="preserve">these two parameters </w:t>
      </w:r>
      <w:r w:rsidR="005365F8">
        <w:rPr>
          <w:rFonts w:cs="Arial"/>
          <w:szCs w:val="24"/>
        </w:rPr>
        <w:t>and</w:t>
      </w:r>
      <w:r w:rsidR="00D454CB">
        <w:rPr>
          <w:rFonts w:cs="Arial"/>
          <w:szCs w:val="24"/>
        </w:rPr>
        <w:t xml:space="preserve"> the density of</w:t>
      </w:r>
      <w:r w:rsidR="00EA54A7">
        <w:rPr>
          <w:rFonts w:cs="Arial"/>
          <w:szCs w:val="24"/>
        </w:rPr>
        <w:t xml:space="preserve"> blood.</w:t>
      </w:r>
    </w:p>
    <w:p w14:paraId="2F9AFDA1" w14:textId="77777777" w:rsidR="00ED708E" w:rsidRDefault="00C25F1F" w:rsidP="00960FB6">
      <w:pPr>
        <w:ind w:firstLine="630"/>
        <w:rPr>
          <w:rFonts w:cs="Arial"/>
          <w:szCs w:val="24"/>
        </w:rPr>
      </w:pPr>
      <w:r>
        <w:rPr>
          <w:rFonts w:cs="Arial"/>
          <w:szCs w:val="24"/>
        </w:rPr>
        <w:t>The effect of each additive on n</w:t>
      </w:r>
      <w:r w:rsidR="00960FB6">
        <w:rPr>
          <w:rFonts w:cs="Arial"/>
          <w:szCs w:val="24"/>
        </w:rPr>
        <w:t>on-Newtonian fluids</w:t>
      </w:r>
      <w:r>
        <w:rPr>
          <w:rFonts w:cs="Arial"/>
          <w:szCs w:val="24"/>
        </w:rPr>
        <w:t xml:space="preserve"> must also be considered. </w:t>
      </w:r>
      <w:r w:rsidR="00C25131">
        <w:rPr>
          <w:rFonts w:cs="Arial"/>
          <w:szCs w:val="24"/>
        </w:rPr>
        <w:t>Most</w:t>
      </w:r>
      <w:r w:rsidR="00515639">
        <w:rPr>
          <w:rFonts w:cs="Arial"/>
          <w:szCs w:val="24"/>
        </w:rPr>
        <w:t xml:space="preserve"> often </w:t>
      </w:r>
      <w:r>
        <w:rPr>
          <w:rFonts w:cs="Arial"/>
          <w:szCs w:val="24"/>
        </w:rPr>
        <w:t xml:space="preserve">a very small amount (&lt;0.06% by weight) of </w:t>
      </w:r>
      <w:r w:rsidR="00534FCE">
        <w:rPr>
          <w:rFonts w:cs="Arial"/>
          <w:szCs w:val="24"/>
        </w:rPr>
        <w:t>xanthan gum (XG)</w:t>
      </w:r>
      <w:r w:rsidR="00F3159B">
        <w:rPr>
          <w:rFonts w:cs="Arial"/>
          <w:szCs w:val="24"/>
        </w:rPr>
        <w:t xml:space="preserve"> </w:t>
      </w:r>
      <w:r w:rsidR="00515639">
        <w:rPr>
          <w:rFonts w:cs="Arial"/>
          <w:szCs w:val="24"/>
        </w:rPr>
        <w:t>is added to the base</w:t>
      </w:r>
      <w:r>
        <w:rPr>
          <w:rFonts w:cs="Arial"/>
          <w:szCs w:val="24"/>
        </w:rPr>
        <w:t xml:space="preserve"> solution mixture</w:t>
      </w:r>
      <w:r w:rsidR="00C25131">
        <w:rPr>
          <w:rFonts w:cs="Arial"/>
          <w:szCs w:val="24"/>
        </w:rPr>
        <w:t>, to yield a non-Newtonian fluid</w:t>
      </w:r>
      <w:r>
        <w:rPr>
          <w:rFonts w:cs="Arial"/>
          <w:szCs w:val="24"/>
        </w:rPr>
        <w:t xml:space="preserve">. Long et al. (2005) reported that </w:t>
      </w:r>
      <w:proofErr w:type="spellStart"/>
      <w:r>
        <w:rPr>
          <w:rFonts w:cs="Arial"/>
          <w:szCs w:val="24"/>
        </w:rPr>
        <w:t>NaI</w:t>
      </w:r>
      <w:proofErr w:type="spellEnd"/>
      <w:r>
        <w:rPr>
          <w:rFonts w:cs="Arial"/>
          <w:szCs w:val="24"/>
        </w:rPr>
        <w:t xml:space="preserve"> does not affect viscoelastic properties of an XG-water-</w:t>
      </w:r>
      <w:r w:rsidR="001C2A6A">
        <w:rPr>
          <w:rFonts w:cs="Arial"/>
          <w:szCs w:val="24"/>
        </w:rPr>
        <w:t>glycerol</w:t>
      </w:r>
      <w:r>
        <w:rPr>
          <w:rFonts w:cs="Arial"/>
          <w:szCs w:val="24"/>
        </w:rPr>
        <w:t xml:space="preserve"> solution</w:t>
      </w:r>
      <w:r w:rsidR="006624F9">
        <w:rPr>
          <w:rFonts w:cs="Arial"/>
          <w:szCs w:val="24"/>
        </w:rPr>
        <w:t>. H</w:t>
      </w:r>
      <w:r>
        <w:rPr>
          <w:rFonts w:cs="Arial"/>
          <w:szCs w:val="24"/>
        </w:rPr>
        <w:t>owever</w:t>
      </w:r>
      <w:r w:rsidR="006624F9">
        <w:rPr>
          <w:rFonts w:cs="Arial"/>
          <w:szCs w:val="24"/>
        </w:rPr>
        <w:t>,</w:t>
      </w:r>
      <w:r>
        <w:rPr>
          <w:rFonts w:cs="Arial"/>
          <w:szCs w:val="24"/>
        </w:rPr>
        <w:t xml:space="preserve"> </w:t>
      </w:r>
      <w:proofErr w:type="spellStart"/>
      <w:r>
        <w:rPr>
          <w:rFonts w:cs="Arial"/>
          <w:szCs w:val="24"/>
        </w:rPr>
        <w:t>Najjari</w:t>
      </w:r>
      <w:proofErr w:type="spellEnd"/>
      <w:r>
        <w:rPr>
          <w:rFonts w:cs="Arial"/>
          <w:szCs w:val="24"/>
        </w:rPr>
        <w:t xml:space="preserve"> et al. (2016) reported </w:t>
      </w:r>
      <w:proofErr w:type="spellStart"/>
      <w:r>
        <w:rPr>
          <w:rFonts w:cs="Arial"/>
          <w:szCs w:val="24"/>
        </w:rPr>
        <w:t>NaI</w:t>
      </w:r>
      <w:proofErr w:type="spellEnd"/>
      <w:r>
        <w:rPr>
          <w:rFonts w:cs="Arial"/>
          <w:szCs w:val="24"/>
        </w:rPr>
        <w:t xml:space="preserve"> significantly reduced the shear-thinning properties of such solutions.</w:t>
      </w:r>
      <w:r w:rsidR="00962B09">
        <w:rPr>
          <w:rFonts w:cs="Arial"/>
          <w:szCs w:val="24"/>
        </w:rPr>
        <w:t xml:space="preserve"> </w:t>
      </w:r>
      <w:proofErr w:type="spellStart"/>
      <w:r w:rsidR="00962B09">
        <w:rPr>
          <w:rFonts w:cs="Arial"/>
          <w:szCs w:val="24"/>
        </w:rPr>
        <w:t>Deplano</w:t>
      </w:r>
      <w:proofErr w:type="spellEnd"/>
      <w:r w:rsidR="00962B09">
        <w:rPr>
          <w:rFonts w:cs="Arial"/>
          <w:szCs w:val="24"/>
        </w:rPr>
        <w:t xml:space="preserve"> et al. (2014) also reported that the rheology of XG solutions is sensitive to the addition of salts.</w:t>
      </w:r>
    </w:p>
    <w:p w14:paraId="6800CF3F" w14:textId="2055C090" w:rsidR="00EA54A7" w:rsidRPr="00890F37" w:rsidRDefault="00EA54A7" w:rsidP="00213CB7">
      <w:pPr>
        <w:ind w:firstLine="630"/>
        <w:rPr>
          <w:rFonts w:cs="Arial"/>
          <w:szCs w:val="24"/>
        </w:rPr>
      </w:pPr>
      <w:r>
        <w:rPr>
          <w:rFonts w:cs="Arial"/>
          <w:szCs w:val="24"/>
        </w:rPr>
        <w:t>In this work, w</w:t>
      </w:r>
      <w:r w:rsidR="009360D2">
        <w:rPr>
          <w:rFonts w:cs="Arial"/>
          <w:szCs w:val="24"/>
        </w:rPr>
        <w:t>e present a novel blood analog</w:t>
      </w:r>
      <w:r>
        <w:rPr>
          <w:rFonts w:cs="Arial"/>
          <w:szCs w:val="24"/>
        </w:rPr>
        <w:t xml:space="preserve"> solution</w:t>
      </w:r>
      <w:r w:rsidR="00213CB7">
        <w:rPr>
          <w:rFonts w:cs="Arial"/>
          <w:szCs w:val="24"/>
        </w:rPr>
        <w:t>—a</w:t>
      </w:r>
      <w:r>
        <w:rPr>
          <w:rFonts w:cs="Arial"/>
          <w:szCs w:val="24"/>
        </w:rPr>
        <w:t xml:space="preserve"> mixture of water-</w:t>
      </w:r>
      <w:r w:rsidR="001C2A6A">
        <w:rPr>
          <w:rFonts w:cs="Arial"/>
          <w:szCs w:val="24"/>
        </w:rPr>
        <w:t>glycerol</w:t>
      </w:r>
      <w:r w:rsidR="00213CB7">
        <w:rPr>
          <w:rFonts w:cs="Arial"/>
          <w:szCs w:val="24"/>
        </w:rPr>
        <w:t xml:space="preserve"> and urea—which </w:t>
      </w:r>
      <w:r>
        <w:rPr>
          <w:rFonts w:cs="Arial"/>
          <w:szCs w:val="24"/>
        </w:rPr>
        <w:t>is able to simultaneously match the index of refraction of PDMS, and the density and viscosity of blood.</w:t>
      </w:r>
      <w:r w:rsidR="004578D8">
        <w:rPr>
          <w:rFonts w:cs="Arial"/>
          <w:szCs w:val="24"/>
        </w:rPr>
        <w:t xml:space="preserve"> Like </w:t>
      </w:r>
      <w:proofErr w:type="spellStart"/>
      <w:r w:rsidR="004578D8">
        <w:rPr>
          <w:rFonts w:cs="Arial"/>
          <w:szCs w:val="24"/>
        </w:rPr>
        <w:t>NaI</w:t>
      </w:r>
      <w:proofErr w:type="spellEnd"/>
      <w:r w:rsidR="004578D8">
        <w:rPr>
          <w:rFonts w:cs="Arial"/>
          <w:szCs w:val="24"/>
        </w:rPr>
        <w:t>, urea increases the index of refraction of water and water-</w:t>
      </w:r>
      <w:r w:rsidR="001C2A6A">
        <w:rPr>
          <w:rFonts w:cs="Arial"/>
          <w:szCs w:val="24"/>
        </w:rPr>
        <w:t>glycerol</w:t>
      </w:r>
      <w:r w:rsidR="004578D8">
        <w:rPr>
          <w:rFonts w:cs="Arial"/>
          <w:szCs w:val="24"/>
        </w:rPr>
        <w:t xml:space="preserve"> linearly </w:t>
      </w:r>
      <w:r w:rsidR="004578D8">
        <w:rPr>
          <w:rFonts w:cs="Arial"/>
          <w:szCs w:val="24"/>
        </w:rPr>
        <w:fldChar w:fldCharType="begin" w:fldLock="1"/>
      </w:r>
      <w:r w:rsidR="00A100DC">
        <w:rPr>
          <w:rFonts w:cs="Arial"/>
          <w:szCs w:val="24"/>
        </w:rPr>
        <w:instrText>ADDIN CSL_CITATION {"citationItems":[{"id":"ITEM-1","itemData":{"DOI":"10.1021/j100873a507","ISBN":"9788578110796","ISSN":"00223654","PMID":"25246403","abstract":"Reduced insulin/insulin-like growth factor 1 (IGF-1) signaling has been associated with longevity in various model organisms. However, the role of insulin/IGF-1 signaling in human survival remains controversial. The aim of this study was to test whether circulating IGF-1 axis parameters associate with old age survival and functional status in no</w:instrText>
      </w:r>
      <w:r w:rsidR="00A100DC">
        <w:rPr>
          <w:rFonts w:cs="Arial" w:hint="eastAsia"/>
          <w:szCs w:val="24"/>
        </w:rPr>
        <w:instrText>nagenarians from the Leiden Longevity Study. This study examined 858 Dutch nonagenarian (males</w:instrText>
      </w:r>
      <w:r w:rsidR="00A100DC">
        <w:rPr>
          <w:rFonts w:cs="Arial" w:hint="eastAsia"/>
          <w:szCs w:val="24"/>
        </w:rPr>
        <w:instrText>≥</w:instrText>
      </w:r>
      <w:r w:rsidR="00A100DC">
        <w:rPr>
          <w:rFonts w:cs="Arial" w:hint="eastAsia"/>
          <w:szCs w:val="24"/>
        </w:rPr>
        <w:instrText>89 years; females</w:instrText>
      </w:r>
      <w:r w:rsidR="00A100DC">
        <w:rPr>
          <w:rFonts w:cs="Arial" w:hint="eastAsia"/>
          <w:szCs w:val="24"/>
        </w:rPr>
        <w:instrText>≥</w:instrText>
      </w:r>
      <w:r w:rsidR="00A100DC">
        <w:rPr>
          <w:rFonts w:cs="Arial" w:hint="eastAsia"/>
          <w:szCs w:val="24"/>
        </w:rPr>
        <w:instrText>91 years) siblings from 409 families, without selection on health or demographic characteristics. Nonagenarians were divided over sex-specific</w:instrText>
      </w:r>
      <w:r w:rsidR="00A100DC">
        <w:rPr>
          <w:rFonts w:cs="Arial"/>
          <w:szCs w:val="24"/>
        </w:rPr>
        <w:instrText xml:space="preserve"> strata according to their levels of IGF-1, IGF binding protein 3 and IGF-1/IGFBP3 molar ratio. We found that lower IGF-1/IGFBP3 ratios were associated with improved survival: nonagenarians in the quartile of the lowest ratio had a lower estimated hazard ratio (95% confidence interval) of 0.73 (0.59 – 0.91) compared to the quartile with the highest ratio (ptrend=0.002). Functional status was assessed by (Instrumental) Activities of Daily Living ((I)ADL) scales. Compared to those in the quartile with the highest IGF-1/IGFBP3 ratio, nonagenarians in the lowest quartile had higher scores for ADL (ptrend=0.001) and IADL (ptrend=0.003). These findings suggest that IGF-1 axis parameters are associated with increased old age survival and better functional status in nonagenarians from the Leiden Longevity Study.","author":[{"dropping-particle":"","family":"Warren","given":"John R.","non-dropping-particle":"","parse-names":false,"suffix":""},{"dropping-particle":"","family":"Gordon","given":"Julius A.","non-dropping-particle":"","parse-names":false,"suffix":""}],"container-title":"Journal of Physical Chemistry","id":"ITEM-1","issue":"1","issued":{"date-parts":[["1966"]]},"page":"297-300","title":"On the refractive indices of aqueous solutions of urea","type":"article-journal","volume":"70"},"uris":["http://www.mendeley.com/documents/?uuid=2acd54a8-3c2f-494e-a7e1-413895e22703"]}],"mendeley":{"formattedCitation":"(Warren and Gordon 1966)","plainTextFormattedCitation":"(Warren and Gordon 1966)","previouslyFormattedCitation":"(Warren and Gordon 1966)"},"properties":{"noteIndex":0},"schema":"https://github.com/citation-style-language/schema/raw/master/csl-citation.json"}</w:instrText>
      </w:r>
      <w:r w:rsidR="004578D8">
        <w:rPr>
          <w:rFonts w:cs="Arial"/>
          <w:szCs w:val="24"/>
        </w:rPr>
        <w:fldChar w:fldCharType="separate"/>
      </w:r>
      <w:r w:rsidR="004578D8" w:rsidRPr="004578D8">
        <w:rPr>
          <w:rFonts w:cs="Arial"/>
          <w:noProof/>
          <w:szCs w:val="24"/>
        </w:rPr>
        <w:t>(Warren and Gordon 1966)</w:t>
      </w:r>
      <w:r w:rsidR="004578D8">
        <w:rPr>
          <w:rFonts w:cs="Arial"/>
          <w:szCs w:val="24"/>
        </w:rPr>
        <w:fldChar w:fldCharType="end"/>
      </w:r>
      <w:r w:rsidR="004578D8">
        <w:rPr>
          <w:rFonts w:cs="Arial"/>
          <w:szCs w:val="24"/>
        </w:rPr>
        <w:t>.</w:t>
      </w:r>
      <w:r>
        <w:rPr>
          <w:rFonts w:cs="Arial"/>
          <w:szCs w:val="24"/>
        </w:rPr>
        <w:t xml:space="preserve"> Urea is</w:t>
      </w:r>
      <w:r w:rsidR="00DD7F64">
        <w:rPr>
          <w:rFonts w:cs="Arial"/>
          <w:szCs w:val="24"/>
        </w:rPr>
        <w:t xml:space="preserve"> </w:t>
      </w:r>
      <w:r w:rsidR="00C25131">
        <w:rPr>
          <w:rFonts w:cs="Arial"/>
          <w:szCs w:val="24"/>
        </w:rPr>
        <w:t>less expensive</w:t>
      </w:r>
      <w:r w:rsidR="00DD7F64">
        <w:rPr>
          <w:rFonts w:cs="Arial"/>
          <w:szCs w:val="24"/>
        </w:rPr>
        <w:t xml:space="preserve"> (about 5</w:t>
      </w:r>
      <w:r w:rsidR="003E00BF">
        <w:rPr>
          <w:rFonts w:cs="Arial"/>
          <w:szCs w:val="24"/>
        </w:rPr>
        <w:t>-15x</w:t>
      </w:r>
      <w:r w:rsidR="009244E2">
        <w:rPr>
          <w:rFonts w:cs="Arial"/>
          <w:szCs w:val="24"/>
        </w:rPr>
        <w:t>)</w:t>
      </w:r>
      <w:r w:rsidR="007C7504">
        <w:rPr>
          <w:rFonts w:cs="Arial"/>
          <w:szCs w:val="24"/>
        </w:rPr>
        <w:t xml:space="preserve"> and</w:t>
      </w:r>
      <w:r w:rsidR="00960FB6">
        <w:rPr>
          <w:rFonts w:cs="Arial"/>
          <w:szCs w:val="24"/>
        </w:rPr>
        <w:t xml:space="preserve"> </w:t>
      </w:r>
      <w:r>
        <w:rPr>
          <w:rFonts w:cs="Arial"/>
          <w:szCs w:val="24"/>
        </w:rPr>
        <w:t>safer</w:t>
      </w:r>
      <w:r w:rsidR="00CB1195">
        <w:rPr>
          <w:rFonts w:cs="Arial"/>
          <w:szCs w:val="24"/>
        </w:rPr>
        <w:t xml:space="preserve"> than </w:t>
      </w:r>
      <w:proofErr w:type="spellStart"/>
      <w:r w:rsidR="00CB1195">
        <w:rPr>
          <w:rFonts w:cs="Arial"/>
          <w:szCs w:val="24"/>
        </w:rPr>
        <w:t>NaI</w:t>
      </w:r>
      <w:proofErr w:type="spellEnd"/>
      <w:r w:rsidR="00E64540">
        <w:rPr>
          <w:rFonts w:cs="Arial"/>
          <w:szCs w:val="24"/>
        </w:rPr>
        <w:t xml:space="preserve">. </w:t>
      </w:r>
      <w:r w:rsidR="00FF294D">
        <w:rPr>
          <w:rFonts w:cs="Arial"/>
          <w:szCs w:val="24"/>
        </w:rPr>
        <w:t>B</w:t>
      </w:r>
      <w:r w:rsidR="0055414D">
        <w:rPr>
          <w:rFonts w:cs="Arial"/>
          <w:szCs w:val="24"/>
        </w:rPr>
        <w:t>y comparison, urea</w:t>
      </w:r>
      <w:r w:rsidR="0078007B">
        <w:rPr>
          <w:rFonts w:cs="Arial"/>
          <w:szCs w:val="24"/>
        </w:rPr>
        <w:t xml:space="preserve"> causes small increases in</w:t>
      </w:r>
      <w:r w:rsidR="0055414D">
        <w:rPr>
          <w:rFonts w:cs="Arial"/>
          <w:szCs w:val="24"/>
        </w:rPr>
        <w:t xml:space="preserve"> </w:t>
      </w:r>
      <w:r w:rsidR="0078007B">
        <w:rPr>
          <w:rFonts w:cs="Arial"/>
          <w:szCs w:val="24"/>
        </w:rPr>
        <w:t xml:space="preserve">the </w:t>
      </w:r>
      <w:r w:rsidR="00D304C7">
        <w:rPr>
          <w:rFonts w:cs="Arial"/>
          <w:szCs w:val="24"/>
        </w:rPr>
        <w:t xml:space="preserve">kinematic </w:t>
      </w:r>
      <w:r w:rsidR="0078007B">
        <w:rPr>
          <w:rFonts w:cs="Arial"/>
          <w:szCs w:val="24"/>
        </w:rPr>
        <w:t>viscosity and density of water-</w:t>
      </w:r>
      <w:r w:rsidR="001C2A6A">
        <w:rPr>
          <w:rFonts w:cs="Arial"/>
          <w:szCs w:val="24"/>
        </w:rPr>
        <w:t>glycerol</w:t>
      </w:r>
      <w:r w:rsidR="0078007B">
        <w:rPr>
          <w:rFonts w:cs="Arial"/>
          <w:szCs w:val="24"/>
        </w:rPr>
        <w:t xml:space="preserve"> solutions, while </w:t>
      </w:r>
      <w:proofErr w:type="spellStart"/>
      <w:r w:rsidR="0078007B">
        <w:rPr>
          <w:rFonts w:cs="Arial"/>
          <w:szCs w:val="24"/>
        </w:rPr>
        <w:t>NaI</w:t>
      </w:r>
      <w:proofErr w:type="spellEnd"/>
      <w:r w:rsidR="003513E5">
        <w:rPr>
          <w:rFonts w:cs="Arial"/>
          <w:szCs w:val="24"/>
        </w:rPr>
        <w:t xml:space="preserve"> causes minimal change</w:t>
      </w:r>
      <w:r w:rsidR="0078007B">
        <w:rPr>
          <w:rFonts w:cs="Arial"/>
          <w:szCs w:val="24"/>
        </w:rPr>
        <w:t xml:space="preserve"> in </w:t>
      </w:r>
      <w:r w:rsidR="00D304C7">
        <w:rPr>
          <w:rFonts w:cs="Arial"/>
          <w:szCs w:val="24"/>
        </w:rPr>
        <w:t>kinematic viscosity and</w:t>
      </w:r>
      <w:r w:rsidR="0078007B">
        <w:rPr>
          <w:rFonts w:cs="Arial"/>
          <w:szCs w:val="24"/>
        </w:rPr>
        <w:t xml:space="preserve"> a large increase in density. </w:t>
      </w:r>
      <w:r>
        <w:rPr>
          <w:rFonts w:cs="Arial"/>
          <w:szCs w:val="24"/>
        </w:rPr>
        <w:t>We tested different co</w:t>
      </w:r>
      <w:r w:rsidR="0078007B">
        <w:rPr>
          <w:rFonts w:cs="Arial"/>
          <w:szCs w:val="24"/>
        </w:rPr>
        <w:t>ncentrations of water-</w:t>
      </w:r>
      <w:r w:rsidR="001C2A6A">
        <w:rPr>
          <w:rFonts w:cs="Arial"/>
          <w:szCs w:val="24"/>
        </w:rPr>
        <w:t>glycerol</w:t>
      </w:r>
      <w:r w:rsidR="0078007B">
        <w:rPr>
          <w:rFonts w:cs="Arial"/>
          <w:szCs w:val="24"/>
        </w:rPr>
        <w:t>-urea solutions</w:t>
      </w:r>
      <w:r>
        <w:rPr>
          <w:rFonts w:cs="Arial"/>
          <w:szCs w:val="24"/>
        </w:rPr>
        <w:t xml:space="preserve"> and </w:t>
      </w:r>
      <w:r w:rsidR="00F16882">
        <w:rPr>
          <w:rFonts w:cs="Arial"/>
          <w:szCs w:val="24"/>
        </w:rPr>
        <w:t>compare</w:t>
      </w:r>
      <w:r w:rsidR="00325E28">
        <w:rPr>
          <w:rFonts w:cs="Arial"/>
          <w:szCs w:val="24"/>
        </w:rPr>
        <w:t>d</w:t>
      </w:r>
      <w:r w:rsidR="00F16882">
        <w:rPr>
          <w:rFonts w:cs="Arial"/>
          <w:szCs w:val="24"/>
        </w:rPr>
        <w:t xml:space="preserve"> these solutions to mixtures of water-</w:t>
      </w:r>
      <w:r w:rsidR="001C2A6A">
        <w:rPr>
          <w:rFonts w:cs="Arial"/>
          <w:szCs w:val="24"/>
        </w:rPr>
        <w:t>glycerol</w:t>
      </w:r>
      <w:r w:rsidR="00F16882">
        <w:rPr>
          <w:rFonts w:cs="Arial"/>
          <w:szCs w:val="24"/>
        </w:rPr>
        <w:t>-</w:t>
      </w:r>
      <w:proofErr w:type="spellStart"/>
      <w:r w:rsidR="00F16882">
        <w:rPr>
          <w:rFonts w:cs="Arial"/>
          <w:szCs w:val="24"/>
        </w:rPr>
        <w:t>NaI</w:t>
      </w:r>
      <w:proofErr w:type="spellEnd"/>
      <w:r w:rsidR="00F16882">
        <w:rPr>
          <w:rFonts w:cs="Arial"/>
          <w:szCs w:val="24"/>
        </w:rPr>
        <w:t xml:space="preserve">. </w:t>
      </w:r>
      <w:r w:rsidR="006624F9">
        <w:rPr>
          <w:rFonts w:cs="Arial"/>
          <w:szCs w:val="24"/>
        </w:rPr>
        <w:t>T</w:t>
      </w:r>
      <w:r w:rsidR="00960FB6">
        <w:rPr>
          <w:rFonts w:cs="Arial"/>
          <w:szCs w:val="24"/>
        </w:rPr>
        <w:t xml:space="preserve">o test the effect of urea </w:t>
      </w:r>
      <w:r w:rsidR="006624F9">
        <w:rPr>
          <w:rFonts w:cs="Arial"/>
          <w:szCs w:val="24"/>
        </w:rPr>
        <w:t>on XG solutions</w:t>
      </w:r>
      <w:r w:rsidR="00F16882">
        <w:rPr>
          <w:rFonts w:cs="Arial"/>
          <w:szCs w:val="24"/>
        </w:rPr>
        <w:t>, we add</w:t>
      </w:r>
      <w:r w:rsidR="00F44EDC">
        <w:rPr>
          <w:rFonts w:cs="Arial"/>
          <w:szCs w:val="24"/>
        </w:rPr>
        <w:t>ed</w:t>
      </w:r>
      <w:r w:rsidR="00F16882">
        <w:rPr>
          <w:rFonts w:cs="Arial"/>
          <w:szCs w:val="24"/>
        </w:rPr>
        <w:t xml:space="preserve"> various concentrations of </w:t>
      </w:r>
      <w:r w:rsidR="006624F9">
        <w:rPr>
          <w:rFonts w:cs="Arial"/>
          <w:szCs w:val="24"/>
        </w:rPr>
        <w:t>XG</w:t>
      </w:r>
      <w:r w:rsidR="00C8503E">
        <w:rPr>
          <w:rFonts w:cs="Arial"/>
          <w:szCs w:val="24"/>
        </w:rPr>
        <w:t xml:space="preserve"> to </w:t>
      </w:r>
      <w:r w:rsidR="00F16882">
        <w:rPr>
          <w:rFonts w:cs="Arial"/>
          <w:szCs w:val="24"/>
        </w:rPr>
        <w:t>water-</w:t>
      </w:r>
      <w:r w:rsidR="001C2A6A">
        <w:rPr>
          <w:rFonts w:cs="Arial"/>
          <w:szCs w:val="24"/>
        </w:rPr>
        <w:t>glycerol</w:t>
      </w:r>
      <w:r w:rsidR="00F16882">
        <w:rPr>
          <w:rFonts w:cs="Arial"/>
          <w:szCs w:val="24"/>
        </w:rPr>
        <w:t xml:space="preserve">-urea and </w:t>
      </w:r>
      <w:r w:rsidR="00960FB6">
        <w:rPr>
          <w:rFonts w:cs="Arial"/>
          <w:szCs w:val="24"/>
        </w:rPr>
        <w:t>compared the viscoelastic properties to XG-</w:t>
      </w:r>
      <w:r w:rsidR="00F16882">
        <w:rPr>
          <w:rFonts w:cs="Arial"/>
          <w:szCs w:val="24"/>
        </w:rPr>
        <w:t>water-</w:t>
      </w:r>
      <w:r w:rsidR="001C2A6A">
        <w:rPr>
          <w:rFonts w:cs="Arial"/>
          <w:szCs w:val="24"/>
        </w:rPr>
        <w:t>glycerol</w:t>
      </w:r>
      <w:r w:rsidR="00F16882">
        <w:rPr>
          <w:rFonts w:cs="Arial"/>
          <w:szCs w:val="24"/>
        </w:rPr>
        <w:t>-</w:t>
      </w:r>
      <w:proofErr w:type="spellStart"/>
      <w:r w:rsidR="00F16882">
        <w:rPr>
          <w:rFonts w:cs="Arial"/>
          <w:szCs w:val="24"/>
        </w:rPr>
        <w:t>NaI</w:t>
      </w:r>
      <w:proofErr w:type="spellEnd"/>
      <w:r w:rsidR="00F16882">
        <w:rPr>
          <w:rFonts w:cs="Arial"/>
          <w:szCs w:val="24"/>
        </w:rPr>
        <w:t xml:space="preserve"> solutions</w:t>
      </w:r>
      <w:r w:rsidR="00C8503E">
        <w:rPr>
          <w:rFonts w:cs="Arial"/>
          <w:szCs w:val="24"/>
        </w:rPr>
        <w:t>.</w:t>
      </w:r>
      <w:r w:rsidR="00ED708E">
        <w:rPr>
          <w:rFonts w:cs="Arial"/>
          <w:szCs w:val="24"/>
        </w:rPr>
        <w:t xml:space="preserve"> </w:t>
      </w:r>
      <w:r w:rsidR="00E8289D">
        <w:rPr>
          <w:rFonts w:cs="Arial"/>
          <w:szCs w:val="24"/>
        </w:rPr>
        <w:t xml:space="preserve">Xylitol was also tested as a substitute for glycerol. </w:t>
      </w:r>
      <w:r w:rsidR="00ED708E">
        <w:rPr>
          <w:rFonts w:cs="Arial"/>
          <w:szCs w:val="24"/>
        </w:rPr>
        <w:t xml:space="preserve">Although in this work, we limit evaluation to blood analog </w:t>
      </w:r>
      <w:r w:rsidR="00903BF7">
        <w:rPr>
          <w:rFonts w:cs="Arial"/>
          <w:szCs w:val="24"/>
        </w:rPr>
        <w:lastRenderedPageBreak/>
        <w:t>solutions</w:t>
      </w:r>
      <w:r w:rsidR="00213CB7">
        <w:rPr>
          <w:rFonts w:cs="Arial"/>
          <w:szCs w:val="24"/>
        </w:rPr>
        <w:t xml:space="preserve"> for use with PDMS</w:t>
      </w:r>
      <w:r w:rsidR="00903BF7">
        <w:rPr>
          <w:rFonts w:cs="Arial"/>
          <w:szCs w:val="24"/>
        </w:rPr>
        <w:t xml:space="preserve">, urea </w:t>
      </w:r>
      <w:r w:rsidR="003B229A">
        <w:rPr>
          <w:rFonts w:cs="Arial"/>
          <w:szCs w:val="24"/>
        </w:rPr>
        <w:t>should be considered as</w:t>
      </w:r>
      <w:r w:rsidR="00F44EDC">
        <w:rPr>
          <w:rFonts w:cs="Arial"/>
          <w:szCs w:val="24"/>
        </w:rPr>
        <w:t xml:space="preserve"> a</w:t>
      </w:r>
      <w:r w:rsidR="003B229A">
        <w:rPr>
          <w:rFonts w:cs="Arial"/>
          <w:szCs w:val="24"/>
        </w:rPr>
        <w:t xml:space="preserve"> cost-effective and safe additive for </w:t>
      </w:r>
      <w:r w:rsidR="006624F9">
        <w:rPr>
          <w:rFonts w:cs="Arial"/>
          <w:szCs w:val="24"/>
        </w:rPr>
        <w:t xml:space="preserve">index matching in </w:t>
      </w:r>
      <w:r w:rsidR="00213CB7">
        <w:rPr>
          <w:rFonts w:cs="Arial"/>
          <w:szCs w:val="24"/>
        </w:rPr>
        <w:t xml:space="preserve">any </w:t>
      </w:r>
      <w:r w:rsidR="003B229A">
        <w:rPr>
          <w:rFonts w:cs="Arial"/>
          <w:szCs w:val="24"/>
        </w:rPr>
        <w:t>PIV experiment.</w:t>
      </w:r>
    </w:p>
    <w:p w14:paraId="021B81DA" w14:textId="77777777" w:rsidR="005C0503" w:rsidRDefault="005C0503" w:rsidP="00453D1A">
      <w:pPr>
        <w:pStyle w:val="heading10"/>
        <w:numPr>
          <w:ilvl w:val="0"/>
          <w:numId w:val="4"/>
        </w:numPr>
        <w:ind w:left="630" w:hanging="630"/>
      </w:pPr>
      <w:r>
        <w:t>Materials and Methods</w:t>
      </w:r>
    </w:p>
    <w:p w14:paraId="74513320" w14:textId="77777777" w:rsidR="008A32FA" w:rsidRPr="008A32FA" w:rsidRDefault="008A32FA" w:rsidP="008A32FA">
      <w:pPr>
        <w:pStyle w:val="heading2"/>
        <w:numPr>
          <w:ilvl w:val="1"/>
          <w:numId w:val="4"/>
        </w:numPr>
        <w:ind w:left="450" w:hanging="450"/>
      </w:pPr>
      <w:r>
        <w:t>Working fluid preparation</w:t>
      </w:r>
    </w:p>
    <w:p w14:paraId="6A2355E6" w14:textId="5B9A5E91" w:rsidR="004B1D4B" w:rsidRDefault="004B1D4B" w:rsidP="00CA7662">
      <w:pPr>
        <w:ind w:firstLine="708"/>
        <w:rPr>
          <w:rFonts w:cs="Arial"/>
          <w:szCs w:val="24"/>
        </w:rPr>
      </w:pPr>
      <w:r w:rsidRPr="008B02A9">
        <w:rPr>
          <w:rFonts w:cs="Arial"/>
          <w:szCs w:val="24"/>
        </w:rPr>
        <w:t>Fluids were pr</w:t>
      </w:r>
      <w:r w:rsidR="00CF0768" w:rsidRPr="008B02A9">
        <w:rPr>
          <w:rFonts w:cs="Arial"/>
          <w:szCs w:val="24"/>
        </w:rPr>
        <w:t>epared</w:t>
      </w:r>
      <w:r w:rsidR="00E71DDD" w:rsidRPr="008B02A9">
        <w:rPr>
          <w:rFonts w:cs="Arial"/>
          <w:szCs w:val="24"/>
        </w:rPr>
        <w:t xml:space="preserve"> using </w:t>
      </w:r>
      <w:r w:rsidR="00C11F5F" w:rsidRPr="008B02A9">
        <w:rPr>
          <w:rFonts w:cs="Arial"/>
          <w:szCs w:val="24"/>
        </w:rPr>
        <w:t>ultrapure</w:t>
      </w:r>
      <w:r w:rsidR="00CF0768" w:rsidRPr="008B02A9">
        <w:rPr>
          <w:rFonts w:cs="Arial"/>
          <w:szCs w:val="24"/>
        </w:rPr>
        <w:t xml:space="preserve"> water (</w:t>
      </w:r>
      <w:proofErr w:type="spellStart"/>
      <w:r w:rsidR="00CF0768" w:rsidRPr="008B02A9">
        <w:rPr>
          <w:rFonts w:cs="Arial"/>
          <w:szCs w:val="24"/>
        </w:rPr>
        <w:t>Thermo</w:t>
      </w:r>
      <w:proofErr w:type="spellEnd"/>
      <w:r w:rsidR="00CF0768" w:rsidRPr="008B02A9">
        <w:rPr>
          <w:rFonts w:cs="Arial"/>
          <w:szCs w:val="24"/>
        </w:rPr>
        <w:t xml:space="preserve"> Scientific Barnstead </w:t>
      </w:r>
      <w:proofErr w:type="spellStart"/>
      <w:r w:rsidR="00CF0768" w:rsidRPr="008B02A9">
        <w:rPr>
          <w:rFonts w:cs="Arial"/>
          <w:szCs w:val="24"/>
        </w:rPr>
        <w:t>NANOpure</w:t>
      </w:r>
      <w:proofErr w:type="spellEnd"/>
      <w:r w:rsidR="00CF0768" w:rsidRPr="008B02A9">
        <w:rPr>
          <w:rFonts w:cs="Arial"/>
          <w:szCs w:val="24"/>
        </w:rPr>
        <w:t xml:space="preserve"> Water Purification System</w:t>
      </w:r>
      <w:r w:rsidRPr="008B02A9">
        <w:rPr>
          <w:rFonts w:cs="Arial"/>
          <w:szCs w:val="24"/>
        </w:rPr>
        <w:t>)</w:t>
      </w:r>
      <w:r w:rsidR="00D14BED" w:rsidRPr="008B02A9">
        <w:rPr>
          <w:rFonts w:cs="Arial"/>
          <w:szCs w:val="24"/>
        </w:rPr>
        <w:t xml:space="preserve"> and mixed with a magnetic stir bar at room temperature.</w:t>
      </w:r>
      <w:r w:rsidR="00E145A4" w:rsidRPr="008B02A9">
        <w:rPr>
          <w:rFonts w:cs="Arial"/>
          <w:szCs w:val="24"/>
        </w:rPr>
        <w:t xml:space="preserve"> </w:t>
      </w:r>
      <w:r w:rsidR="00375E86" w:rsidRPr="008B02A9">
        <w:rPr>
          <w:rFonts w:cs="Arial"/>
          <w:szCs w:val="24"/>
        </w:rPr>
        <w:t>Additives included</w:t>
      </w:r>
      <w:r w:rsidR="00325E28">
        <w:rPr>
          <w:rFonts w:cs="Arial"/>
          <w:szCs w:val="24"/>
        </w:rPr>
        <w:t xml:space="preserve"> u</w:t>
      </w:r>
      <w:r w:rsidR="00E145A4" w:rsidRPr="008B02A9">
        <w:rPr>
          <w:rFonts w:cs="Arial"/>
          <w:szCs w:val="24"/>
        </w:rPr>
        <w:t>rea (F</w:t>
      </w:r>
      <w:r w:rsidR="00884DE1" w:rsidRPr="008B02A9">
        <w:rPr>
          <w:rFonts w:cs="Arial"/>
          <w:szCs w:val="24"/>
        </w:rPr>
        <w:t>isher Chemical)</w:t>
      </w:r>
      <w:r w:rsidR="00325E28">
        <w:rPr>
          <w:rFonts w:cs="Arial"/>
          <w:szCs w:val="24"/>
        </w:rPr>
        <w:t>, x</w:t>
      </w:r>
      <w:r w:rsidR="00E145A4" w:rsidRPr="008B02A9">
        <w:rPr>
          <w:rFonts w:cs="Arial"/>
          <w:szCs w:val="24"/>
        </w:rPr>
        <w:t xml:space="preserve">ylitol (99%, Alfa </w:t>
      </w:r>
      <w:proofErr w:type="spellStart"/>
      <w:r w:rsidR="00E145A4" w:rsidRPr="008B02A9">
        <w:rPr>
          <w:rFonts w:cs="Arial"/>
          <w:szCs w:val="24"/>
        </w:rPr>
        <w:t>Aesar</w:t>
      </w:r>
      <w:proofErr w:type="spellEnd"/>
      <w:r w:rsidR="00E145A4" w:rsidRPr="008B02A9">
        <w:rPr>
          <w:rFonts w:cs="Arial"/>
          <w:szCs w:val="24"/>
        </w:rPr>
        <w:t xml:space="preserve">), </w:t>
      </w:r>
      <w:r w:rsidR="00325E28">
        <w:rPr>
          <w:rFonts w:cs="Arial"/>
          <w:szCs w:val="24"/>
        </w:rPr>
        <w:t>sodium i</w:t>
      </w:r>
      <w:r w:rsidR="00E71DDD" w:rsidRPr="008B02A9">
        <w:rPr>
          <w:rFonts w:cs="Arial"/>
          <w:szCs w:val="24"/>
        </w:rPr>
        <w:t>odide (</w:t>
      </w:r>
      <w:r w:rsidR="00644373" w:rsidRPr="008B02A9">
        <w:rPr>
          <w:rFonts w:cs="Arial"/>
          <w:szCs w:val="24"/>
        </w:rPr>
        <w:t xml:space="preserve">Technical Grade 9080, </w:t>
      </w:r>
      <w:proofErr w:type="spellStart"/>
      <w:r w:rsidR="00644373" w:rsidRPr="008B02A9">
        <w:rPr>
          <w:rFonts w:cs="Arial"/>
          <w:szCs w:val="24"/>
        </w:rPr>
        <w:t>IodiTech</w:t>
      </w:r>
      <w:proofErr w:type="spellEnd"/>
      <w:r w:rsidR="00644373" w:rsidRPr="008B02A9">
        <w:rPr>
          <w:rFonts w:cs="Arial"/>
          <w:szCs w:val="24"/>
        </w:rPr>
        <w:t xml:space="preserve">), </w:t>
      </w:r>
      <w:r w:rsidR="00325E28">
        <w:rPr>
          <w:rFonts w:cs="Arial"/>
          <w:szCs w:val="24"/>
        </w:rPr>
        <w:t>sodium c</w:t>
      </w:r>
      <w:r w:rsidR="00884DE1" w:rsidRPr="008B02A9">
        <w:rPr>
          <w:rFonts w:cs="Arial"/>
          <w:szCs w:val="24"/>
        </w:rPr>
        <w:t xml:space="preserve">hloride (Fisher Chemical), </w:t>
      </w:r>
      <w:r w:rsidR="00325E28">
        <w:rPr>
          <w:rFonts w:cs="Arial"/>
          <w:szCs w:val="24"/>
        </w:rPr>
        <w:t>g</w:t>
      </w:r>
      <w:r w:rsidR="001C2A6A">
        <w:rPr>
          <w:rFonts w:cs="Arial"/>
          <w:szCs w:val="24"/>
        </w:rPr>
        <w:t>lycerol</w:t>
      </w:r>
      <w:r w:rsidR="00644373" w:rsidRPr="008B02A9">
        <w:rPr>
          <w:rFonts w:cs="Arial"/>
          <w:szCs w:val="24"/>
        </w:rPr>
        <w:t xml:space="preserve"> (99%, PTI Process Chemicals), </w:t>
      </w:r>
      <w:r w:rsidR="00325E28">
        <w:rPr>
          <w:rFonts w:cs="Arial"/>
          <w:szCs w:val="24"/>
        </w:rPr>
        <w:t>and xanthan g</w:t>
      </w:r>
      <w:r w:rsidR="00884DE1" w:rsidRPr="008B02A9">
        <w:rPr>
          <w:rFonts w:cs="Arial"/>
          <w:szCs w:val="24"/>
        </w:rPr>
        <w:t>um (Hodgson Mill).</w:t>
      </w:r>
      <w:r w:rsidR="00325E28">
        <w:rPr>
          <w:rFonts w:cs="Arial"/>
          <w:szCs w:val="24"/>
        </w:rPr>
        <w:t xml:space="preserve"> All chemicals were used as received from the supplier, with no additional purification.</w:t>
      </w:r>
    </w:p>
    <w:p w14:paraId="68A35276" w14:textId="069373AB" w:rsidR="00092140" w:rsidRDefault="00092140" w:rsidP="00CA7662">
      <w:pPr>
        <w:ind w:firstLine="708"/>
        <w:rPr>
          <w:rFonts w:cs="Arial"/>
          <w:szCs w:val="24"/>
        </w:rPr>
      </w:pPr>
      <w:r>
        <w:rPr>
          <w:rFonts w:cs="Arial"/>
          <w:szCs w:val="24"/>
        </w:rPr>
        <w:t>To obtain baseline information, two-component Newtonian mixtures</w:t>
      </w:r>
      <w:r w:rsidR="007C1EBC">
        <w:rPr>
          <w:rFonts w:cs="Arial"/>
          <w:szCs w:val="24"/>
        </w:rPr>
        <w:t>,</w:t>
      </w:r>
      <w:r>
        <w:rPr>
          <w:rFonts w:cs="Arial"/>
          <w:szCs w:val="24"/>
        </w:rPr>
        <w:t xml:space="preserve"> where each a</w:t>
      </w:r>
      <w:r w:rsidR="00435DE5">
        <w:rPr>
          <w:rFonts w:cs="Arial"/>
          <w:szCs w:val="24"/>
        </w:rPr>
        <w:t>dditive</w:t>
      </w:r>
      <w:r>
        <w:rPr>
          <w:rFonts w:cs="Arial"/>
          <w:szCs w:val="24"/>
        </w:rPr>
        <w:t xml:space="preserve"> was added incrementally to the </w:t>
      </w:r>
      <w:r w:rsidR="00435DE5">
        <w:rPr>
          <w:rFonts w:cs="Arial"/>
          <w:szCs w:val="24"/>
        </w:rPr>
        <w:t>ultrapure water</w:t>
      </w:r>
      <w:r w:rsidR="007C1EBC">
        <w:rPr>
          <w:rFonts w:cs="Arial"/>
          <w:szCs w:val="24"/>
        </w:rPr>
        <w:t>,</w:t>
      </w:r>
      <w:r>
        <w:rPr>
          <w:rFonts w:cs="Arial"/>
          <w:szCs w:val="24"/>
        </w:rPr>
        <w:t xml:space="preserve"> were first tested</w:t>
      </w:r>
      <w:r w:rsidR="00435DE5">
        <w:rPr>
          <w:rFonts w:cs="Arial"/>
          <w:szCs w:val="24"/>
        </w:rPr>
        <w:t xml:space="preserve">. </w:t>
      </w:r>
      <w:r w:rsidR="007736C9">
        <w:rPr>
          <w:rFonts w:cs="Arial"/>
          <w:szCs w:val="24"/>
        </w:rPr>
        <w:t>Solutions were magnetically stirred for approximately 30 minutes before testing</w:t>
      </w:r>
      <w:r w:rsidR="00435DE5">
        <w:rPr>
          <w:rFonts w:cs="Arial"/>
          <w:szCs w:val="24"/>
        </w:rPr>
        <w:t xml:space="preserve">. </w:t>
      </w:r>
      <w:r>
        <w:rPr>
          <w:rFonts w:cs="Arial"/>
          <w:szCs w:val="24"/>
        </w:rPr>
        <w:t>The temperature, index of refraction, density, and dynamic viscosity were recorded during each iteration of Newtonian testing</w:t>
      </w:r>
      <w:r w:rsidR="007736C9">
        <w:rPr>
          <w:rFonts w:cs="Arial"/>
          <w:szCs w:val="24"/>
        </w:rPr>
        <w:t xml:space="preserve">, as described </w:t>
      </w:r>
      <w:r w:rsidR="00C751D8">
        <w:rPr>
          <w:rFonts w:cs="Arial"/>
          <w:szCs w:val="24"/>
        </w:rPr>
        <w:t>in Section 2.2</w:t>
      </w:r>
      <w:r>
        <w:rPr>
          <w:rFonts w:cs="Arial"/>
          <w:szCs w:val="24"/>
        </w:rPr>
        <w:t xml:space="preserve">. </w:t>
      </w:r>
    </w:p>
    <w:p w14:paraId="5C9F6703" w14:textId="3729E5F5" w:rsidR="00992E4C" w:rsidRDefault="00092140" w:rsidP="00CA7662">
      <w:pPr>
        <w:ind w:firstLine="708"/>
        <w:rPr>
          <w:rFonts w:cs="Arial"/>
          <w:szCs w:val="24"/>
        </w:rPr>
      </w:pPr>
      <w:r>
        <w:rPr>
          <w:rFonts w:cs="Arial"/>
          <w:szCs w:val="24"/>
        </w:rPr>
        <w:t xml:space="preserve">Three-component Newtonian mixtures were then tested using ultrapure water, glycerol, </w:t>
      </w:r>
      <w:r w:rsidR="00B75B41">
        <w:rPr>
          <w:rFonts w:cs="Arial"/>
          <w:szCs w:val="24"/>
        </w:rPr>
        <w:t xml:space="preserve">and </w:t>
      </w:r>
      <w:proofErr w:type="spellStart"/>
      <w:r w:rsidR="00B75B41">
        <w:rPr>
          <w:rFonts w:cs="Arial"/>
          <w:szCs w:val="24"/>
        </w:rPr>
        <w:t>NaI</w:t>
      </w:r>
      <w:proofErr w:type="spellEnd"/>
      <w:r w:rsidR="00B75B41">
        <w:rPr>
          <w:rFonts w:cs="Arial"/>
          <w:szCs w:val="24"/>
        </w:rPr>
        <w:t xml:space="preserve"> or</w:t>
      </w:r>
      <w:r>
        <w:rPr>
          <w:rFonts w:cs="Arial"/>
          <w:szCs w:val="24"/>
        </w:rPr>
        <w:t xml:space="preserve"> urea. Three ratios of water-glycerol were used </w:t>
      </w:r>
      <w:r w:rsidR="00435DE5">
        <w:rPr>
          <w:rFonts w:cs="Arial"/>
          <w:szCs w:val="24"/>
        </w:rPr>
        <w:t xml:space="preserve">to represent low, medium (average), and high values of reported blood viscosity. </w:t>
      </w:r>
      <w:r>
        <w:rPr>
          <w:rFonts w:cs="Arial"/>
          <w:szCs w:val="24"/>
        </w:rPr>
        <w:t xml:space="preserve">The three water-glycerol base mixtures were allowed to stir for 24 hours and subsequently split into </w:t>
      </w:r>
      <w:r w:rsidR="00992E4C">
        <w:rPr>
          <w:rFonts w:cs="Arial"/>
          <w:szCs w:val="24"/>
        </w:rPr>
        <w:t>two 200</w:t>
      </w:r>
      <w:r w:rsidR="007736C9">
        <w:rPr>
          <w:rFonts w:cs="Arial"/>
          <w:szCs w:val="24"/>
        </w:rPr>
        <w:t xml:space="preserve"> </w:t>
      </w:r>
      <w:r w:rsidR="00992E4C">
        <w:rPr>
          <w:rFonts w:cs="Arial"/>
          <w:szCs w:val="24"/>
        </w:rPr>
        <w:t>mL sub-v</w:t>
      </w:r>
      <w:r>
        <w:rPr>
          <w:rFonts w:cs="Arial"/>
          <w:szCs w:val="24"/>
        </w:rPr>
        <w:t>olumes</w:t>
      </w:r>
      <w:r w:rsidR="00992E4C">
        <w:rPr>
          <w:rFonts w:cs="Arial"/>
          <w:szCs w:val="24"/>
        </w:rPr>
        <w:t>, resulting in six total solutions</w:t>
      </w:r>
      <w:r>
        <w:rPr>
          <w:rFonts w:cs="Arial"/>
          <w:szCs w:val="24"/>
        </w:rPr>
        <w:t xml:space="preserve">. </w:t>
      </w:r>
      <w:r w:rsidR="00435DE5">
        <w:rPr>
          <w:rFonts w:cs="Arial"/>
          <w:szCs w:val="24"/>
        </w:rPr>
        <w:t>Incr</w:t>
      </w:r>
      <w:r>
        <w:rPr>
          <w:rFonts w:cs="Arial"/>
          <w:szCs w:val="24"/>
        </w:rPr>
        <w:t xml:space="preserve">emental amounts of </w:t>
      </w:r>
      <w:proofErr w:type="spellStart"/>
      <w:r w:rsidR="007736C9">
        <w:rPr>
          <w:rFonts w:cs="Arial"/>
          <w:szCs w:val="24"/>
        </w:rPr>
        <w:t>NaI</w:t>
      </w:r>
      <w:proofErr w:type="spellEnd"/>
      <w:r w:rsidR="007736C9">
        <w:rPr>
          <w:rFonts w:cs="Arial"/>
          <w:szCs w:val="24"/>
        </w:rPr>
        <w:t xml:space="preserve"> or</w:t>
      </w:r>
      <w:r w:rsidR="00992E4C">
        <w:rPr>
          <w:rFonts w:cs="Arial"/>
          <w:szCs w:val="24"/>
        </w:rPr>
        <w:t xml:space="preserve"> u</w:t>
      </w:r>
      <w:r>
        <w:rPr>
          <w:rFonts w:cs="Arial"/>
          <w:szCs w:val="24"/>
        </w:rPr>
        <w:t>rea</w:t>
      </w:r>
      <w:r w:rsidR="00435DE5">
        <w:rPr>
          <w:rFonts w:cs="Arial"/>
          <w:szCs w:val="24"/>
        </w:rPr>
        <w:t xml:space="preserve"> were added to</w:t>
      </w:r>
      <w:r>
        <w:rPr>
          <w:rFonts w:cs="Arial"/>
          <w:szCs w:val="24"/>
        </w:rPr>
        <w:t xml:space="preserve"> the water-glycerol solutions</w:t>
      </w:r>
      <w:r w:rsidR="00CA7662">
        <w:rPr>
          <w:rFonts w:cs="Arial"/>
          <w:szCs w:val="24"/>
        </w:rPr>
        <w:t xml:space="preserve"> </w:t>
      </w:r>
      <w:r w:rsidR="00992E4C">
        <w:rPr>
          <w:rFonts w:cs="Arial"/>
          <w:szCs w:val="24"/>
        </w:rPr>
        <w:t xml:space="preserve">until the refractive index of PDMS </w:t>
      </w:r>
      <w:proofErr w:type="spellStart"/>
      <w:r w:rsidR="00992E4C">
        <w:rPr>
          <w:rFonts w:cs="Arial"/>
          <w:szCs w:val="24"/>
        </w:rPr>
        <w:t>Sylgard</w:t>
      </w:r>
      <w:proofErr w:type="spellEnd"/>
      <w:r w:rsidR="00992E4C">
        <w:rPr>
          <w:rFonts w:cs="Arial"/>
          <w:szCs w:val="24"/>
        </w:rPr>
        <w:t xml:space="preserve"> 184 was reached. Each incremental addition was </w:t>
      </w:r>
      <w:r w:rsidR="00CA7662">
        <w:rPr>
          <w:rFonts w:cs="Arial"/>
          <w:szCs w:val="24"/>
        </w:rPr>
        <w:t>allowe</w:t>
      </w:r>
      <w:r>
        <w:rPr>
          <w:rFonts w:cs="Arial"/>
          <w:szCs w:val="24"/>
        </w:rPr>
        <w:t xml:space="preserve">d to stir for about </w:t>
      </w:r>
      <w:r w:rsidR="00CA7662">
        <w:rPr>
          <w:rFonts w:cs="Arial"/>
          <w:szCs w:val="24"/>
        </w:rPr>
        <w:t xml:space="preserve">30 minutes </w:t>
      </w:r>
      <w:r w:rsidR="00791009">
        <w:rPr>
          <w:rFonts w:cs="Arial"/>
          <w:szCs w:val="24"/>
        </w:rPr>
        <w:t xml:space="preserve">before testing. </w:t>
      </w:r>
    </w:p>
    <w:p w14:paraId="6A3FB860" w14:textId="48911AE7" w:rsidR="00435DE5" w:rsidRDefault="00992E4C" w:rsidP="00CA7662">
      <w:pPr>
        <w:ind w:firstLine="708"/>
        <w:rPr>
          <w:rFonts w:cs="Arial"/>
          <w:szCs w:val="24"/>
        </w:rPr>
      </w:pPr>
      <w:r>
        <w:rPr>
          <w:rFonts w:cs="Arial"/>
          <w:szCs w:val="24"/>
        </w:rPr>
        <w:t>Newtonian testing was done using the six final PDMS-index matched water-glycerol-urea and water-glycerol-</w:t>
      </w:r>
      <w:proofErr w:type="spellStart"/>
      <w:r>
        <w:rPr>
          <w:rFonts w:cs="Arial"/>
          <w:szCs w:val="24"/>
        </w:rPr>
        <w:t>NaI</w:t>
      </w:r>
      <w:proofErr w:type="spellEnd"/>
      <w:r>
        <w:rPr>
          <w:rFonts w:cs="Arial"/>
          <w:szCs w:val="24"/>
        </w:rPr>
        <w:t xml:space="preserve"> solutions. Each of the six solutions were split into four 50</w:t>
      </w:r>
      <w:r w:rsidR="007736C9">
        <w:rPr>
          <w:rFonts w:cs="Arial"/>
          <w:szCs w:val="24"/>
        </w:rPr>
        <w:t xml:space="preserve"> </w:t>
      </w:r>
      <w:r>
        <w:rPr>
          <w:rFonts w:cs="Arial"/>
          <w:szCs w:val="24"/>
        </w:rPr>
        <w:t>mL sub-volumes, resulting</w:t>
      </w:r>
      <w:r w:rsidR="00791009">
        <w:rPr>
          <w:rFonts w:cs="Arial"/>
          <w:szCs w:val="24"/>
        </w:rPr>
        <w:t xml:space="preserve"> </w:t>
      </w:r>
      <w:r>
        <w:rPr>
          <w:rFonts w:cs="Arial"/>
          <w:szCs w:val="24"/>
        </w:rPr>
        <w:t>in</w:t>
      </w:r>
      <w:r w:rsidR="005037F1">
        <w:rPr>
          <w:rFonts w:cs="Arial"/>
          <w:szCs w:val="24"/>
        </w:rPr>
        <w:t xml:space="preserve"> 24 total samples</w:t>
      </w:r>
      <w:r>
        <w:rPr>
          <w:rFonts w:cs="Arial"/>
          <w:szCs w:val="24"/>
        </w:rPr>
        <w:t>. X</w:t>
      </w:r>
      <w:r w:rsidR="00791009">
        <w:rPr>
          <w:rFonts w:cs="Arial"/>
          <w:szCs w:val="24"/>
        </w:rPr>
        <w:t>anthan gum was</w:t>
      </w:r>
      <w:r w:rsidR="00CA7662">
        <w:rPr>
          <w:rFonts w:cs="Arial"/>
          <w:szCs w:val="24"/>
        </w:rPr>
        <w:t xml:space="preserve"> added at 0</w:t>
      </w:r>
      <w:r w:rsidR="00302163">
        <w:rPr>
          <w:rFonts w:cs="Arial"/>
          <w:szCs w:val="24"/>
        </w:rPr>
        <w:t xml:space="preserve">.02, 0.04 and 0.06 </w:t>
      </w:r>
      <w:proofErr w:type="spellStart"/>
      <w:r w:rsidR="00302163">
        <w:rPr>
          <w:rFonts w:cs="Arial"/>
          <w:szCs w:val="24"/>
        </w:rPr>
        <w:t>wt</w:t>
      </w:r>
      <w:proofErr w:type="spellEnd"/>
      <w:r w:rsidR="00302163">
        <w:rPr>
          <w:rFonts w:cs="Arial"/>
          <w:szCs w:val="24"/>
        </w:rPr>
        <w:t>%</w:t>
      </w:r>
      <w:r w:rsidR="005037F1">
        <w:rPr>
          <w:rFonts w:cs="Arial"/>
          <w:szCs w:val="24"/>
        </w:rPr>
        <w:t>. All</w:t>
      </w:r>
      <w:r w:rsidR="00CA7662">
        <w:rPr>
          <w:rFonts w:cs="Arial"/>
          <w:szCs w:val="24"/>
        </w:rPr>
        <w:t xml:space="preserve"> samples were stirred </w:t>
      </w:r>
      <w:r>
        <w:rPr>
          <w:rFonts w:cs="Arial"/>
          <w:szCs w:val="24"/>
        </w:rPr>
        <w:t xml:space="preserve">constantly </w:t>
      </w:r>
      <w:r w:rsidR="00CA7662">
        <w:rPr>
          <w:rFonts w:cs="Arial"/>
          <w:szCs w:val="24"/>
        </w:rPr>
        <w:t>for 3-4 days to ensure well-mixed soluti</w:t>
      </w:r>
      <w:r>
        <w:rPr>
          <w:rFonts w:cs="Arial"/>
          <w:szCs w:val="24"/>
        </w:rPr>
        <w:t>ons</w:t>
      </w:r>
      <w:r w:rsidR="00CA7662">
        <w:rPr>
          <w:rFonts w:cs="Arial"/>
          <w:szCs w:val="24"/>
        </w:rPr>
        <w:t>.</w:t>
      </w:r>
      <w:r>
        <w:rPr>
          <w:rFonts w:cs="Arial"/>
          <w:szCs w:val="24"/>
        </w:rPr>
        <w:t xml:space="preserve"> Temperature, index of refraction, density, and oscillatory elasticity and viscosity were obtained for all non-Newtonian fluids.</w:t>
      </w:r>
    </w:p>
    <w:p w14:paraId="2991365C" w14:textId="77777777" w:rsidR="004B1AED" w:rsidRPr="008A32FA" w:rsidRDefault="008A32FA" w:rsidP="00CD4DA6">
      <w:pPr>
        <w:pStyle w:val="heading2"/>
        <w:numPr>
          <w:ilvl w:val="1"/>
          <w:numId w:val="4"/>
        </w:numPr>
        <w:ind w:left="450" w:hanging="450"/>
      </w:pPr>
      <w:r>
        <w:lastRenderedPageBreak/>
        <w:t>Fluid Property Measurement</w:t>
      </w:r>
    </w:p>
    <w:p w14:paraId="42DF2816" w14:textId="125F8887" w:rsidR="00CF4073" w:rsidRDefault="00902F83" w:rsidP="00CA7662">
      <w:pPr>
        <w:ind w:firstLine="708"/>
        <w:rPr>
          <w:rFonts w:cs="Arial"/>
          <w:szCs w:val="24"/>
        </w:rPr>
      </w:pPr>
      <w:r w:rsidRPr="008B02A9">
        <w:rPr>
          <w:rFonts w:cs="Arial"/>
          <w:szCs w:val="24"/>
        </w:rPr>
        <w:t>Refractive indices were m</w:t>
      </w:r>
      <w:r w:rsidR="00CD4DA6" w:rsidRPr="008B02A9">
        <w:rPr>
          <w:rFonts w:cs="Arial"/>
          <w:szCs w:val="24"/>
        </w:rPr>
        <w:t xml:space="preserve">easured </w:t>
      </w:r>
      <w:r w:rsidR="00B464E1" w:rsidRPr="008B02A9">
        <w:rPr>
          <w:rFonts w:cs="Arial"/>
          <w:szCs w:val="24"/>
        </w:rPr>
        <w:t xml:space="preserve">at 589 nm </w:t>
      </w:r>
      <w:r w:rsidR="00CD4DA6" w:rsidRPr="008B02A9">
        <w:rPr>
          <w:rFonts w:cs="Arial"/>
          <w:szCs w:val="24"/>
        </w:rPr>
        <w:t>with a handheld, digital</w:t>
      </w:r>
      <w:r w:rsidRPr="008B02A9">
        <w:rPr>
          <w:rFonts w:cs="Arial"/>
          <w:szCs w:val="24"/>
        </w:rPr>
        <w:t xml:space="preserve"> Abbe Refractometer (Model PA202)</w:t>
      </w:r>
      <w:r w:rsidR="00CD4DA6" w:rsidRPr="008B02A9">
        <w:rPr>
          <w:rFonts w:cs="Arial"/>
          <w:szCs w:val="24"/>
        </w:rPr>
        <w:t xml:space="preserve"> with range of 1.3330-1.5000 </w:t>
      </w:r>
      <w:proofErr w:type="spellStart"/>
      <w:r w:rsidR="00CD4DA6" w:rsidRPr="008B02A9">
        <w:rPr>
          <w:rFonts w:cs="Arial"/>
          <w:szCs w:val="24"/>
        </w:rPr>
        <w:t>nD</w:t>
      </w:r>
      <w:proofErr w:type="spellEnd"/>
      <w:r w:rsidR="00CD4DA6" w:rsidRPr="008B02A9">
        <w:rPr>
          <w:rFonts w:cs="Arial"/>
          <w:szCs w:val="24"/>
        </w:rPr>
        <w:t xml:space="preserve"> and +/-0.0001 precision. Densities </w:t>
      </w:r>
      <w:r w:rsidR="00791009">
        <w:rPr>
          <w:rFonts w:cs="Arial"/>
          <w:szCs w:val="24"/>
        </w:rPr>
        <w:t>were calculated as the</w:t>
      </w:r>
      <w:r w:rsidR="007736C9">
        <w:rPr>
          <w:rFonts w:cs="Arial"/>
          <w:szCs w:val="24"/>
        </w:rPr>
        <w:t xml:space="preserve"> average of three mass</w:t>
      </w:r>
      <w:r w:rsidR="001654C9">
        <w:rPr>
          <w:rFonts w:cs="Arial"/>
          <w:szCs w:val="24"/>
        </w:rPr>
        <w:t>/volume measurements</w:t>
      </w:r>
      <w:r w:rsidRPr="008B02A9">
        <w:rPr>
          <w:rFonts w:cs="Arial"/>
          <w:szCs w:val="24"/>
        </w:rPr>
        <w:t>.</w:t>
      </w:r>
      <w:r w:rsidR="00CD4DA6" w:rsidRPr="008B02A9">
        <w:rPr>
          <w:rFonts w:cs="Arial"/>
          <w:szCs w:val="24"/>
        </w:rPr>
        <w:t xml:space="preserve"> </w:t>
      </w:r>
      <w:r w:rsidR="00634456">
        <w:rPr>
          <w:rFonts w:cs="Arial"/>
          <w:szCs w:val="24"/>
        </w:rPr>
        <w:t>Volumes were measured using a 1</w:t>
      </w:r>
      <w:r w:rsidR="00A5566C">
        <w:rPr>
          <w:rFonts w:cs="Arial"/>
          <w:szCs w:val="24"/>
        </w:rPr>
        <w:t>000</w:t>
      </w:r>
      <w:r w:rsidR="00634456">
        <w:rPr>
          <w:rFonts w:cs="Arial"/>
          <w:szCs w:val="24"/>
        </w:rPr>
        <w:t xml:space="preserve"> </w:t>
      </w:r>
      <w:r w:rsidR="00A5566C">
        <w:rPr>
          <w:rFonts w:cs="Arial"/>
          <w:szCs w:val="24"/>
        </w:rPr>
        <w:t>µ</w:t>
      </w:r>
      <w:r w:rsidR="00634456">
        <w:rPr>
          <w:rFonts w:cs="Arial"/>
          <w:szCs w:val="24"/>
        </w:rPr>
        <w:t xml:space="preserve">L pipette for highest accuracy. </w:t>
      </w:r>
      <w:r w:rsidR="001654C9">
        <w:rPr>
          <w:rFonts w:cs="Arial"/>
          <w:szCs w:val="24"/>
        </w:rPr>
        <w:t>Rheological properties were measured with a</w:t>
      </w:r>
      <w:r w:rsidR="006A3760" w:rsidRPr="008B02A9">
        <w:rPr>
          <w:rFonts w:cs="Arial"/>
          <w:szCs w:val="24"/>
        </w:rPr>
        <w:t xml:space="preserve"> </w:t>
      </w:r>
      <w:r w:rsidR="004B1D4B" w:rsidRPr="008B02A9">
        <w:rPr>
          <w:rFonts w:cs="Arial"/>
          <w:szCs w:val="24"/>
        </w:rPr>
        <w:t>Discovery HR-2</w:t>
      </w:r>
      <w:r w:rsidR="00CD4DA6" w:rsidRPr="008B02A9">
        <w:rPr>
          <w:rFonts w:cs="Arial"/>
          <w:szCs w:val="24"/>
        </w:rPr>
        <w:t xml:space="preserve"> Hybrid Rheometer</w:t>
      </w:r>
      <w:r w:rsidR="001654C9">
        <w:rPr>
          <w:rFonts w:cs="Arial"/>
          <w:szCs w:val="24"/>
        </w:rPr>
        <w:t xml:space="preserve"> (TA Instruments) using</w:t>
      </w:r>
      <w:r w:rsidR="006A3760" w:rsidRPr="008B02A9">
        <w:rPr>
          <w:rFonts w:cs="Arial"/>
          <w:szCs w:val="24"/>
        </w:rPr>
        <w:t xml:space="preserve"> </w:t>
      </w:r>
      <w:r w:rsidR="00B058B3">
        <w:rPr>
          <w:rFonts w:cs="Arial"/>
          <w:szCs w:val="24"/>
        </w:rPr>
        <w:t xml:space="preserve">a </w:t>
      </w:r>
      <w:r w:rsidR="006A3760" w:rsidRPr="008B02A9">
        <w:rPr>
          <w:rFonts w:cs="Arial"/>
          <w:szCs w:val="24"/>
        </w:rPr>
        <w:t>cone</w:t>
      </w:r>
      <w:r w:rsidR="001654C9">
        <w:rPr>
          <w:rFonts w:cs="Arial"/>
          <w:szCs w:val="24"/>
        </w:rPr>
        <w:t xml:space="preserve"> (1</w:t>
      </w:r>
      <w:r w:rsidR="001654C9">
        <w:rPr>
          <w:rFonts w:cs="Arial"/>
          <w:szCs w:val="24"/>
        </w:rPr>
        <w:sym w:font="Symbol" w:char="F0B0"/>
      </w:r>
      <w:r w:rsidR="001654C9">
        <w:rPr>
          <w:rFonts w:cs="Arial"/>
          <w:szCs w:val="24"/>
        </w:rPr>
        <w:t>:00’:11” and 40-mm diameter)</w:t>
      </w:r>
      <w:r w:rsidR="00B058B3">
        <w:rPr>
          <w:rFonts w:cs="Arial"/>
          <w:szCs w:val="24"/>
        </w:rPr>
        <w:t xml:space="preserve"> geometry</w:t>
      </w:r>
      <w:r w:rsidR="006A3760" w:rsidRPr="008B02A9">
        <w:rPr>
          <w:rFonts w:cs="Arial"/>
          <w:szCs w:val="24"/>
        </w:rPr>
        <w:t xml:space="preserve">. </w:t>
      </w:r>
      <w:r w:rsidR="001A2AD0">
        <w:rPr>
          <w:rFonts w:cs="Arial"/>
          <w:szCs w:val="24"/>
        </w:rPr>
        <w:t>These t</w:t>
      </w:r>
      <w:r w:rsidR="0009704F" w:rsidRPr="008B02A9">
        <w:rPr>
          <w:rFonts w:cs="Arial"/>
          <w:szCs w:val="24"/>
        </w:rPr>
        <w:t xml:space="preserve">ests were performed </w:t>
      </w:r>
      <w:r w:rsidR="001A2AD0">
        <w:rPr>
          <w:rFonts w:cs="Arial"/>
          <w:szCs w:val="24"/>
        </w:rPr>
        <w:t>under controlled temperature conditions</w:t>
      </w:r>
      <w:r w:rsidR="0009704F" w:rsidRPr="008B02A9">
        <w:rPr>
          <w:rFonts w:cs="Arial"/>
          <w:szCs w:val="24"/>
        </w:rPr>
        <w:t xml:space="preserve"> (23.6</w:t>
      </w:r>
      <w:r w:rsidR="0009704F" w:rsidRPr="008B02A9">
        <w:rPr>
          <w:rFonts w:cs="Arial"/>
          <w:szCs w:val="24"/>
          <w:vertAlign w:val="superscript"/>
        </w:rPr>
        <w:t>o</w:t>
      </w:r>
      <w:r w:rsidR="0009704F" w:rsidRPr="008B02A9">
        <w:rPr>
          <w:rFonts w:cs="Arial"/>
          <w:szCs w:val="24"/>
        </w:rPr>
        <w:t xml:space="preserve">C </w:t>
      </w:r>
      <w:r w:rsidR="0009704F" w:rsidRPr="008B02A9">
        <w:rPr>
          <w:rFonts w:cs="Arial"/>
          <w:szCs w:val="24"/>
        </w:rPr>
        <w:sym w:font="Symbol" w:char="F0B1"/>
      </w:r>
      <w:r w:rsidR="00644373" w:rsidRPr="008B02A9">
        <w:rPr>
          <w:rFonts w:cs="Arial"/>
          <w:szCs w:val="24"/>
        </w:rPr>
        <w:t>0.0</w:t>
      </w:r>
      <w:r w:rsidR="0009704F" w:rsidRPr="008B02A9">
        <w:rPr>
          <w:rFonts w:cs="Arial"/>
          <w:szCs w:val="24"/>
        </w:rPr>
        <w:t>2</w:t>
      </w:r>
      <w:r w:rsidR="0009704F" w:rsidRPr="008B02A9">
        <w:rPr>
          <w:rFonts w:cs="Arial"/>
          <w:szCs w:val="24"/>
          <w:vertAlign w:val="superscript"/>
        </w:rPr>
        <w:t>o</w:t>
      </w:r>
      <w:r w:rsidR="0009704F" w:rsidRPr="008B02A9">
        <w:rPr>
          <w:rFonts w:cs="Arial"/>
          <w:szCs w:val="24"/>
        </w:rPr>
        <w:t>C)</w:t>
      </w:r>
      <w:r w:rsidR="001654C9">
        <w:rPr>
          <w:rFonts w:cs="Arial"/>
          <w:szCs w:val="24"/>
        </w:rPr>
        <w:t xml:space="preserve"> </w:t>
      </w:r>
      <w:r w:rsidR="00A5566C">
        <w:rPr>
          <w:rFonts w:cs="Arial"/>
          <w:szCs w:val="24"/>
        </w:rPr>
        <w:t>correlating with</w:t>
      </w:r>
      <w:r w:rsidR="001654C9">
        <w:rPr>
          <w:rFonts w:cs="Arial"/>
          <w:szCs w:val="24"/>
        </w:rPr>
        <w:t xml:space="preserve"> the initial fluids at room temperature</w:t>
      </w:r>
      <w:r w:rsidR="006A3760" w:rsidRPr="008B02A9">
        <w:rPr>
          <w:rFonts w:cs="Arial"/>
          <w:szCs w:val="24"/>
        </w:rPr>
        <w:t>.</w:t>
      </w:r>
    </w:p>
    <w:p w14:paraId="0611A478" w14:textId="77777777" w:rsidR="001654C9" w:rsidRPr="008A32FA" w:rsidRDefault="008A32FA" w:rsidP="008A32FA">
      <w:pPr>
        <w:pStyle w:val="heading3"/>
      </w:pPr>
      <w:r>
        <w:t>2.2</w:t>
      </w:r>
      <w:r w:rsidRPr="00583434">
        <w:t xml:space="preserve">.1 </w:t>
      </w:r>
      <w:r>
        <w:t>Newtonian</w:t>
      </w:r>
    </w:p>
    <w:p w14:paraId="6DDF4637" w14:textId="704FDCCF" w:rsidR="00563505" w:rsidRDefault="00EE31D8" w:rsidP="00615BF3">
      <w:pPr>
        <w:ind w:firstLine="708"/>
        <w:rPr>
          <w:rFonts w:cs="Arial"/>
          <w:szCs w:val="24"/>
        </w:rPr>
      </w:pPr>
      <w:r>
        <w:rPr>
          <w:rFonts w:cs="Arial"/>
          <w:szCs w:val="24"/>
        </w:rPr>
        <w:t xml:space="preserve">The </w:t>
      </w:r>
      <w:r w:rsidR="00B058B3">
        <w:rPr>
          <w:rFonts w:cs="Arial"/>
          <w:szCs w:val="24"/>
        </w:rPr>
        <w:t>steady shear (sweep mode)</w:t>
      </w:r>
      <w:r w:rsidR="008A32FA">
        <w:rPr>
          <w:rFonts w:cs="Arial"/>
          <w:szCs w:val="24"/>
        </w:rPr>
        <w:t xml:space="preserve"> </w:t>
      </w:r>
      <w:r w:rsidR="004A69B2">
        <w:rPr>
          <w:rFonts w:cs="Arial"/>
          <w:szCs w:val="24"/>
        </w:rPr>
        <w:t xml:space="preserve">experiments were conducted </w:t>
      </w:r>
      <w:r w:rsidR="00615BF3">
        <w:rPr>
          <w:rFonts w:cs="Arial"/>
          <w:szCs w:val="24"/>
        </w:rPr>
        <w:t>using</w:t>
      </w:r>
      <w:r w:rsidR="004A69B2">
        <w:rPr>
          <w:rFonts w:cs="Arial"/>
          <w:szCs w:val="24"/>
        </w:rPr>
        <w:t xml:space="preserve"> the cone geometry </w:t>
      </w:r>
      <w:r w:rsidR="00615BF3">
        <w:rPr>
          <w:rFonts w:cs="Arial"/>
          <w:szCs w:val="24"/>
        </w:rPr>
        <w:t>wit</w:t>
      </w:r>
      <w:r w:rsidR="00C751D8">
        <w:rPr>
          <w:rFonts w:cs="Arial"/>
          <w:szCs w:val="24"/>
        </w:rPr>
        <w:t>h a gap of 66 µm and shear rate</w:t>
      </w:r>
      <w:r w:rsidR="00615BF3">
        <w:rPr>
          <w:rFonts w:cs="Arial"/>
          <w:szCs w:val="24"/>
        </w:rPr>
        <w:t xml:space="preserve"> ranging from 1 to 500 s</w:t>
      </w:r>
      <w:r w:rsidR="00615BF3">
        <w:rPr>
          <w:rFonts w:cs="Arial"/>
          <w:szCs w:val="24"/>
          <w:vertAlign w:val="superscript"/>
        </w:rPr>
        <w:t>-1</w:t>
      </w:r>
      <w:r w:rsidR="00615BF3">
        <w:rPr>
          <w:rFonts w:cs="Arial"/>
          <w:szCs w:val="24"/>
        </w:rPr>
        <w:t>.</w:t>
      </w:r>
      <w:r w:rsidR="00D7490D">
        <w:rPr>
          <w:rFonts w:cs="Arial"/>
          <w:szCs w:val="24"/>
        </w:rPr>
        <w:t xml:space="preserve"> </w:t>
      </w:r>
      <w:r w:rsidR="00B058B3">
        <w:rPr>
          <w:rFonts w:cs="Arial"/>
          <w:szCs w:val="24"/>
        </w:rPr>
        <w:t>In sweep mo</w:t>
      </w:r>
      <w:r w:rsidR="00634456">
        <w:rPr>
          <w:rFonts w:cs="Arial"/>
          <w:szCs w:val="24"/>
        </w:rPr>
        <w:t>de, a steady</w:t>
      </w:r>
      <w:r w:rsidR="005037F1">
        <w:rPr>
          <w:rFonts w:cs="Arial"/>
          <w:szCs w:val="24"/>
        </w:rPr>
        <w:t xml:space="preserve"> and</w:t>
      </w:r>
      <w:r w:rsidR="00D7490D">
        <w:rPr>
          <w:rFonts w:cs="Arial"/>
          <w:szCs w:val="24"/>
        </w:rPr>
        <w:t xml:space="preserve"> increasing shear rate </w:t>
      </w:r>
      <w:r w:rsidR="00634456">
        <w:rPr>
          <w:rFonts w:cs="Arial"/>
          <w:szCs w:val="24"/>
        </w:rPr>
        <w:t xml:space="preserve">is applied to the fluid </w:t>
      </w:r>
      <w:r w:rsidR="00D7490D">
        <w:rPr>
          <w:rFonts w:cs="Arial"/>
          <w:szCs w:val="24"/>
        </w:rPr>
        <w:t xml:space="preserve">to </w:t>
      </w:r>
      <w:r w:rsidR="00634456">
        <w:rPr>
          <w:rFonts w:cs="Arial"/>
          <w:szCs w:val="24"/>
        </w:rPr>
        <w:t>evaluate</w:t>
      </w:r>
      <w:r w:rsidR="00D7490D">
        <w:rPr>
          <w:rFonts w:cs="Arial"/>
          <w:szCs w:val="24"/>
        </w:rPr>
        <w:t xml:space="preserve"> variations of viscosity with shear rate. Newtonian fluids </w:t>
      </w:r>
      <w:r w:rsidR="00B058B3">
        <w:rPr>
          <w:rFonts w:cs="Arial"/>
          <w:szCs w:val="24"/>
        </w:rPr>
        <w:t>plateaued to</w:t>
      </w:r>
      <w:r w:rsidR="00791009">
        <w:rPr>
          <w:rFonts w:cs="Arial"/>
          <w:szCs w:val="24"/>
        </w:rPr>
        <w:t xml:space="preserve"> a constant viscosity</w:t>
      </w:r>
      <w:r w:rsidR="00D7490D">
        <w:rPr>
          <w:rFonts w:cs="Arial"/>
          <w:szCs w:val="24"/>
        </w:rPr>
        <w:t xml:space="preserve"> at higher shear rates, </w:t>
      </w:r>
      <w:r w:rsidR="00791009">
        <w:rPr>
          <w:rFonts w:cs="Arial"/>
          <w:szCs w:val="24"/>
        </w:rPr>
        <w:t>and these values were</w:t>
      </w:r>
      <w:r w:rsidR="00D7490D">
        <w:rPr>
          <w:rFonts w:cs="Arial"/>
          <w:szCs w:val="24"/>
        </w:rPr>
        <w:t xml:space="preserve"> used to obtain the dynamic viscosity, µ</w:t>
      </w:r>
      <w:r w:rsidR="00B06DEC">
        <w:rPr>
          <w:rFonts w:cs="Arial"/>
          <w:szCs w:val="24"/>
          <w:vertAlign w:val="subscript"/>
        </w:rPr>
        <w:t>∞</w:t>
      </w:r>
      <w:r w:rsidR="00B058B3">
        <w:rPr>
          <w:rFonts w:cs="Arial"/>
          <w:szCs w:val="24"/>
        </w:rPr>
        <w:t xml:space="preserve"> (Pa-</w:t>
      </w:r>
      <w:r w:rsidR="00B06DEC">
        <w:rPr>
          <w:rFonts w:cs="Arial"/>
          <w:szCs w:val="24"/>
        </w:rPr>
        <w:t>s),</w:t>
      </w:r>
      <w:r w:rsidR="00D7490D">
        <w:rPr>
          <w:rFonts w:cs="Arial"/>
          <w:szCs w:val="24"/>
        </w:rPr>
        <w:t xml:space="preserve"> of the fluid.</w:t>
      </w:r>
      <w:r w:rsidR="00634456">
        <w:rPr>
          <w:rFonts w:cs="Arial"/>
          <w:szCs w:val="24"/>
        </w:rPr>
        <w:t xml:space="preserve"> For the chosen shear rate range, the kinematic viscosity remained constant throughout.</w:t>
      </w:r>
    </w:p>
    <w:p w14:paraId="299595C8" w14:textId="77777777" w:rsidR="00615BF3" w:rsidRDefault="00615BF3" w:rsidP="00CD4DA6">
      <w:pPr>
        <w:rPr>
          <w:rFonts w:cs="Arial"/>
          <w:szCs w:val="24"/>
        </w:rPr>
      </w:pPr>
    </w:p>
    <w:p w14:paraId="6A9FDF6A" w14:textId="77777777" w:rsidR="00615BF3" w:rsidRDefault="008A32FA" w:rsidP="00CD4DA6">
      <w:pPr>
        <w:rPr>
          <w:rFonts w:cs="Arial"/>
          <w:i/>
          <w:szCs w:val="24"/>
        </w:rPr>
      </w:pPr>
      <w:r>
        <w:rPr>
          <w:rFonts w:cs="Arial"/>
          <w:i/>
          <w:szCs w:val="24"/>
        </w:rPr>
        <w:t xml:space="preserve">2.2.2 </w:t>
      </w:r>
      <w:r w:rsidR="00615BF3">
        <w:rPr>
          <w:rFonts w:cs="Arial"/>
          <w:i/>
          <w:szCs w:val="24"/>
        </w:rPr>
        <w:t>Non-Newtonian</w:t>
      </w:r>
    </w:p>
    <w:p w14:paraId="124AC379" w14:textId="63687894" w:rsidR="00615BF3" w:rsidRDefault="00615BF3" w:rsidP="00CD4DA6">
      <w:pPr>
        <w:rPr>
          <w:rFonts w:cs="Arial"/>
          <w:szCs w:val="24"/>
        </w:rPr>
      </w:pPr>
      <w:r>
        <w:rPr>
          <w:rFonts w:cs="Arial"/>
          <w:szCs w:val="24"/>
        </w:rPr>
        <w:tab/>
        <w:t xml:space="preserve">Non-Newtonian fluids </w:t>
      </w:r>
      <w:r w:rsidR="00CD2525">
        <w:rPr>
          <w:rFonts w:cs="Arial"/>
          <w:szCs w:val="24"/>
        </w:rPr>
        <w:t xml:space="preserve">were tested using the </w:t>
      </w:r>
      <w:r w:rsidR="00634456">
        <w:rPr>
          <w:rFonts w:cs="Arial"/>
          <w:szCs w:val="24"/>
        </w:rPr>
        <w:t>cone</w:t>
      </w:r>
      <w:r w:rsidR="00CD2525">
        <w:rPr>
          <w:rFonts w:cs="Arial"/>
          <w:szCs w:val="24"/>
        </w:rPr>
        <w:t xml:space="preserve"> geometry with a 66 µm gap and an</w:t>
      </w:r>
      <w:r>
        <w:rPr>
          <w:rFonts w:cs="Arial"/>
          <w:szCs w:val="24"/>
        </w:rPr>
        <w:t xml:space="preserve"> oscillatory shear stress of 2 Hz to obtain the storage modulus, </w:t>
      </w:r>
      <w:r w:rsidRPr="00615BF3">
        <w:rPr>
          <w:rFonts w:cs="Arial"/>
          <w:i/>
          <w:szCs w:val="24"/>
        </w:rPr>
        <w:t>G’</w:t>
      </w:r>
      <w:r>
        <w:rPr>
          <w:rFonts w:cs="Arial"/>
          <w:szCs w:val="24"/>
        </w:rPr>
        <w:t xml:space="preserve"> (Pa), and loss modulus, </w:t>
      </w:r>
      <w:r w:rsidRPr="00615BF3">
        <w:rPr>
          <w:rFonts w:cs="Arial"/>
          <w:i/>
          <w:szCs w:val="24"/>
        </w:rPr>
        <w:t>G”</w:t>
      </w:r>
      <w:r>
        <w:rPr>
          <w:rFonts w:cs="Arial"/>
          <w:szCs w:val="24"/>
        </w:rPr>
        <w:t xml:space="preserve"> (Pa). These parameters were used to </w:t>
      </w:r>
      <w:r w:rsidR="00634456">
        <w:rPr>
          <w:rFonts w:cs="Arial"/>
          <w:szCs w:val="24"/>
        </w:rPr>
        <w:t xml:space="preserve">compute </w:t>
      </w:r>
      <w:r>
        <w:rPr>
          <w:rFonts w:cs="Arial"/>
          <w:szCs w:val="24"/>
        </w:rPr>
        <w:t>the elasticity and viscosi</w:t>
      </w:r>
      <w:r w:rsidR="00C751D8">
        <w:rPr>
          <w:rFonts w:cs="Arial"/>
          <w:szCs w:val="24"/>
        </w:rPr>
        <w:t>ty of the fluids respectively. Oscillatory e</w:t>
      </w:r>
      <w:r>
        <w:rPr>
          <w:rFonts w:cs="Arial"/>
          <w:szCs w:val="24"/>
        </w:rPr>
        <w:t xml:space="preserve">lasticity, </w:t>
      </w:r>
      <w:r>
        <w:rPr>
          <w:rFonts w:cs="Arial"/>
          <w:szCs w:val="24"/>
        </w:rPr>
        <w:sym w:font="Symbol" w:char="F07A"/>
      </w:r>
      <w:r>
        <w:rPr>
          <w:rFonts w:cs="Arial"/>
          <w:szCs w:val="24"/>
        </w:rPr>
        <w:t xml:space="preserve"> (m</w:t>
      </w:r>
      <w:r>
        <w:rPr>
          <w:rFonts w:cs="Arial"/>
          <w:szCs w:val="24"/>
          <w:vertAlign w:val="superscript"/>
        </w:rPr>
        <w:t>2</w:t>
      </w:r>
      <w:r w:rsidR="00634456">
        <w:rPr>
          <w:rFonts w:cs="Arial"/>
          <w:szCs w:val="24"/>
        </w:rPr>
        <w:t>/s), was calculated according to</w:t>
      </w:r>
      <w:r>
        <w:rPr>
          <w:rFonts w:cs="Arial"/>
          <w:szCs w:val="24"/>
        </w:rPr>
        <w:t xml:space="preserve"> the </w:t>
      </w:r>
      <w:r w:rsidR="00634456">
        <w:rPr>
          <w:rFonts w:cs="Arial"/>
          <w:szCs w:val="24"/>
        </w:rPr>
        <w:t>Equation 1</w:t>
      </w:r>
      <w:r>
        <w:rPr>
          <w:rFonts w:cs="Arial"/>
          <w:szCs w:val="24"/>
        </w:rPr>
        <w:t>:</w:t>
      </w:r>
    </w:p>
    <w:p w14:paraId="5939A3E4" w14:textId="77777777" w:rsidR="00615BF3" w:rsidRDefault="00615BF3" w:rsidP="00CD4DA6">
      <w:pPr>
        <w:rPr>
          <w:rFonts w:cs="Arial"/>
          <w:szCs w:val="24"/>
        </w:rPr>
      </w:pPr>
    </w:p>
    <w:p w14:paraId="13513EBE" w14:textId="77777777" w:rsidR="00615BF3" w:rsidRDefault="00615BF3" w:rsidP="00CD4DA6">
      <w:pPr>
        <w:rPr>
          <w:rFonts w:cs="Arial"/>
          <w:szCs w:val="24"/>
        </w:rPr>
      </w:pPr>
      <w:r>
        <w:rPr>
          <w:rFonts w:cs="Arial"/>
          <w:szCs w:val="24"/>
        </w:rPr>
        <w:sym w:font="Symbol" w:char="F07A"/>
      </w:r>
      <w:r>
        <w:rPr>
          <w:rFonts w:cs="Arial"/>
          <w:szCs w:val="24"/>
        </w:rPr>
        <w:t xml:space="preserve"> = </w:t>
      </w:r>
      <w:r>
        <w:rPr>
          <w:rFonts w:cs="Arial"/>
          <w:i/>
          <w:szCs w:val="24"/>
        </w:rPr>
        <w:t>G’</w:t>
      </w:r>
      <w:r>
        <w:rPr>
          <w:rFonts w:cs="Arial"/>
          <w:szCs w:val="24"/>
        </w:rPr>
        <w:t>/</w:t>
      </w:r>
      <w:r>
        <w:rPr>
          <w:rFonts w:cs="Arial"/>
          <w:szCs w:val="24"/>
        </w:rPr>
        <w:sym w:font="Symbol" w:char="F077"/>
      </w:r>
      <w:r>
        <w:rPr>
          <w:rFonts w:cs="Arial"/>
          <w:szCs w:val="24"/>
        </w:rPr>
        <w:sym w:font="Symbol" w:char="F072"/>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(1)</w:t>
      </w:r>
    </w:p>
    <w:p w14:paraId="2EE0BB7E" w14:textId="77777777" w:rsidR="00615BF3" w:rsidRDefault="00615BF3" w:rsidP="00CD4DA6">
      <w:pPr>
        <w:rPr>
          <w:rFonts w:cs="Arial"/>
          <w:szCs w:val="24"/>
        </w:rPr>
      </w:pPr>
    </w:p>
    <w:p w14:paraId="7E859AA6" w14:textId="18715929" w:rsidR="002008F0" w:rsidRDefault="00615BF3" w:rsidP="00CD4DA6">
      <w:pPr>
        <w:rPr>
          <w:rFonts w:cs="Arial"/>
          <w:szCs w:val="24"/>
        </w:rPr>
      </w:pPr>
      <w:r>
        <w:rPr>
          <w:rFonts w:cs="Arial"/>
          <w:szCs w:val="24"/>
        </w:rPr>
        <w:t xml:space="preserve">where </w:t>
      </w:r>
      <w:r>
        <w:rPr>
          <w:rFonts w:cs="Arial"/>
          <w:szCs w:val="24"/>
        </w:rPr>
        <w:sym w:font="Symbol" w:char="F077"/>
      </w:r>
      <w:r>
        <w:rPr>
          <w:rFonts w:cs="Arial"/>
          <w:szCs w:val="24"/>
        </w:rPr>
        <w:t xml:space="preserve"> is angular frequency (</w:t>
      </w:r>
      <w:r>
        <w:rPr>
          <w:rFonts w:cs="Arial"/>
          <w:szCs w:val="24"/>
        </w:rPr>
        <w:sym w:font="Symbol" w:char="F077"/>
      </w:r>
      <w:r>
        <w:rPr>
          <w:rFonts w:cs="Arial"/>
          <w:szCs w:val="24"/>
        </w:rPr>
        <w:t xml:space="preserve"> = 12.566 rad/s) and</w:t>
      </w:r>
      <w:r w:rsidR="002008F0">
        <w:rPr>
          <w:rFonts w:cs="Arial"/>
          <w:szCs w:val="24"/>
        </w:rPr>
        <w:t xml:space="preserve"> </w:t>
      </w:r>
      <w:r w:rsidR="002008F0">
        <w:rPr>
          <w:rFonts w:cs="Arial"/>
          <w:szCs w:val="24"/>
        </w:rPr>
        <w:sym w:font="Symbol" w:char="F072"/>
      </w:r>
      <w:r w:rsidR="002008F0">
        <w:rPr>
          <w:rFonts w:cs="Arial"/>
          <w:szCs w:val="24"/>
        </w:rPr>
        <w:t xml:space="preserve"> is the density of the fluid (kg/m</w:t>
      </w:r>
      <w:r w:rsidR="002008F0">
        <w:rPr>
          <w:rFonts w:cs="Arial"/>
          <w:szCs w:val="24"/>
          <w:vertAlign w:val="superscript"/>
        </w:rPr>
        <w:t>3</w:t>
      </w:r>
      <w:r w:rsidR="00C751D8">
        <w:rPr>
          <w:rFonts w:cs="Arial"/>
          <w:szCs w:val="24"/>
        </w:rPr>
        <w:t>). Oscillatory v</w:t>
      </w:r>
      <w:r w:rsidR="002008F0">
        <w:rPr>
          <w:rFonts w:cs="Arial"/>
          <w:szCs w:val="24"/>
        </w:rPr>
        <w:t xml:space="preserve">iscosity, </w:t>
      </w:r>
      <w:r w:rsidR="002008F0">
        <w:rPr>
          <w:rFonts w:cs="Arial"/>
          <w:szCs w:val="24"/>
        </w:rPr>
        <w:sym w:font="Symbol" w:char="F06E"/>
      </w:r>
      <w:r w:rsidR="002008F0">
        <w:rPr>
          <w:rFonts w:cs="Arial"/>
          <w:szCs w:val="24"/>
        </w:rPr>
        <w:t xml:space="preserve"> (m</w:t>
      </w:r>
      <w:r w:rsidR="002008F0">
        <w:rPr>
          <w:rFonts w:cs="Arial"/>
          <w:szCs w:val="24"/>
          <w:vertAlign w:val="superscript"/>
        </w:rPr>
        <w:t>2</w:t>
      </w:r>
      <w:r w:rsidR="00634456">
        <w:rPr>
          <w:rFonts w:cs="Arial"/>
          <w:szCs w:val="24"/>
        </w:rPr>
        <w:t>/s), was calculated using Equation 2:</w:t>
      </w:r>
    </w:p>
    <w:p w14:paraId="668AD640" w14:textId="77777777" w:rsidR="002008F0" w:rsidRDefault="002008F0" w:rsidP="00CD4DA6">
      <w:pPr>
        <w:rPr>
          <w:rFonts w:cs="Arial"/>
          <w:szCs w:val="24"/>
        </w:rPr>
      </w:pPr>
    </w:p>
    <w:p w14:paraId="774A5081" w14:textId="77777777" w:rsidR="002008F0" w:rsidRDefault="002008F0" w:rsidP="00CD4DA6">
      <w:pPr>
        <w:rPr>
          <w:rFonts w:cs="Arial"/>
          <w:szCs w:val="24"/>
        </w:rPr>
      </w:pPr>
      <w:r>
        <w:rPr>
          <w:rFonts w:cs="Arial"/>
          <w:szCs w:val="24"/>
        </w:rPr>
        <w:sym w:font="Symbol" w:char="F06E"/>
      </w:r>
      <w:r>
        <w:rPr>
          <w:rFonts w:cs="Arial"/>
          <w:szCs w:val="24"/>
        </w:rPr>
        <w:t xml:space="preserve"> = </w:t>
      </w:r>
      <w:r>
        <w:rPr>
          <w:rFonts w:cs="Arial"/>
          <w:i/>
          <w:szCs w:val="24"/>
        </w:rPr>
        <w:t>G”</w:t>
      </w:r>
      <w:r>
        <w:rPr>
          <w:rFonts w:cs="Arial"/>
          <w:szCs w:val="24"/>
        </w:rPr>
        <w:t>/</w:t>
      </w:r>
      <w:r>
        <w:rPr>
          <w:rFonts w:cs="Arial"/>
          <w:szCs w:val="24"/>
        </w:rPr>
        <w:sym w:font="Symbol" w:char="F077"/>
      </w:r>
      <w:r>
        <w:rPr>
          <w:rFonts w:cs="Arial"/>
          <w:szCs w:val="24"/>
        </w:rPr>
        <w:sym w:font="Symbol" w:char="F072"/>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r>
      <w:r>
        <w:rPr>
          <w:rFonts w:cs="Arial"/>
          <w:szCs w:val="24"/>
        </w:rPr>
        <w:tab/>
        <w:t>(2)</w:t>
      </w:r>
    </w:p>
    <w:p w14:paraId="78FF5D58" w14:textId="77777777" w:rsidR="00634456" w:rsidRDefault="00634456" w:rsidP="00CD4DA6">
      <w:pPr>
        <w:rPr>
          <w:rFonts w:cs="Arial"/>
          <w:szCs w:val="24"/>
        </w:rPr>
      </w:pPr>
    </w:p>
    <w:p w14:paraId="77ACFC2A" w14:textId="1302F0EF" w:rsidR="00634456" w:rsidRPr="002008F0" w:rsidRDefault="00634456" w:rsidP="00CD4DA6">
      <w:pPr>
        <w:rPr>
          <w:rFonts w:cs="Arial"/>
          <w:szCs w:val="24"/>
        </w:rPr>
      </w:pPr>
      <w:r>
        <w:rPr>
          <w:rFonts w:cs="Arial"/>
          <w:szCs w:val="24"/>
        </w:rPr>
        <w:lastRenderedPageBreak/>
        <w:t xml:space="preserve">Triplicate oscillatory </w:t>
      </w:r>
      <w:r w:rsidR="007220FA">
        <w:rPr>
          <w:rFonts w:cs="Arial"/>
          <w:szCs w:val="24"/>
        </w:rPr>
        <w:t xml:space="preserve">shear rate </w:t>
      </w:r>
      <w:r>
        <w:rPr>
          <w:rFonts w:cs="Arial"/>
          <w:szCs w:val="24"/>
        </w:rPr>
        <w:t xml:space="preserve">runs were performed, and the G’ and G’’ values averaged. The averaged </w:t>
      </w:r>
      <w:r w:rsidR="00A32538">
        <w:rPr>
          <w:rFonts w:cs="Arial"/>
          <w:szCs w:val="24"/>
        </w:rPr>
        <w:t xml:space="preserve">values were used to compute the oscillatory viscosity and elasticity. The </w:t>
      </w:r>
      <w:r>
        <w:rPr>
          <w:rFonts w:cs="Arial"/>
          <w:szCs w:val="24"/>
        </w:rPr>
        <w:t xml:space="preserve">results are presented with uncertainty bars showing </w:t>
      </w:r>
      <w:r>
        <w:rPr>
          <w:rFonts w:ascii="Symbol Tiger Expert" w:hAnsi="Symbol Tiger Expert" w:cs="Arial"/>
          <w:szCs w:val="24"/>
        </w:rPr>
        <w:t>±</w:t>
      </w:r>
      <w:r>
        <w:rPr>
          <w:rFonts w:cs="Arial"/>
          <w:szCs w:val="24"/>
        </w:rPr>
        <w:t>1 stan</w:t>
      </w:r>
      <w:r w:rsidR="00F2041E">
        <w:rPr>
          <w:rFonts w:cs="Arial"/>
          <w:szCs w:val="24"/>
        </w:rPr>
        <w:t xml:space="preserve">dard deviation of the </w:t>
      </w:r>
      <w:proofErr w:type="gramStart"/>
      <w:r w:rsidR="00F2041E">
        <w:rPr>
          <w:rFonts w:cs="Arial"/>
          <w:szCs w:val="24"/>
        </w:rPr>
        <w:t xml:space="preserve">three </w:t>
      </w:r>
      <w:r w:rsidR="00C751D8">
        <w:rPr>
          <w:rFonts w:cs="Arial"/>
          <w:szCs w:val="24"/>
        </w:rPr>
        <w:t>run</w:t>
      </w:r>
      <w:proofErr w:type="gramEnd"/>
      <w:r w:rsidR="00C751D8">
        <w:rPr>
          <w:rFonts w:cs="Arial"/>
          <w:szCs w:val="24"/>
        </w:rPr>
        <w:t xml:space="preserve"> average</w:t>
      </w:r>
      <w:r>
        <w:rPr>
          <w:rFonts w:cs="Arial"/>
          <w:szCs w:val="24"/>
        </w:rPr>
        <w:t>.</w:t>
      </w:r>
    </w:p>
    <w:p w14:paraId="4252D98F" w14:textId="77777777" w:rsidR="0081672E" w:rsidRDefault="0081672E" w:rsidP="00453D1A">
      <w:pPr>
        <w:pStyle w:val="heading10"/>
        <w:numPr>
          <w:ilvl w:val="0"/>
          <w:numId w:val="4"/>
        </w:numPr>
        <w:ind w:left="630" w:hanging="630"/>
      </w:pPr>
      <w:r w:rsidRPr="00F1244B">
        <w:t>Results and discussion</w:t>
      </w:r>
    </w:p>
    <w:p w14:paraId="7F7117FD" w14:textId="7D88EFF8" w:rsidR="00497C0B" w:rsidRDefault="00497C0B" w:rsidP="00497C0B">
      <w:pPr>
        <w:pStyle w:val="heading2"/>
        <w:numPr>
          <w:ilvl w:val="1"/>
          <w:numId w:val="4"/>
        </w:numPr>
        <w:ind w:left="450" w:hanging="450"/>
      </w:pPr>
      <w:r>
        <w:t>Two-component Newtonian</w:t>
      </w:r>
      <w:r w:rsidR="00076622">
        <w:t xml:space="preserve"> Fluids</w:t>
      </w:r>
    </w:p>
    <w:p w14:paraId="30B24B55" w14:textId="315E8C73" w:rsidR="008C7DF9" w:rsidRDefault="00FF5041" w:rsidP="009D6F03">
      <w:pPr>
        <w:ind w:firstLine="450"/>
        <w:rPr>
          <w:rFonts w:cs="Arial"/>
          <w:szCs w:val="24"/>
        </w:rPr>
      </w:pPr>
      <w:r>
        <w:rPr>
          <w:rFonts w:cs="Arial"/>
          <w:szCs w:val="24"/>
        </w:rPr>
        <w:t>Properties of the two-component Newtonian fluids were characterized at room temperature to id</w:t>
      </w:r>
      <w:r w:rsidR="006D64FD">
        <w:rPr>
          <w:rFonts w:cs="Arial"/>
          <w:szCs w:val="24"/>
        </w:rPr>
        <w:t>entify</w:t>
      </w:r>
      <w:r>
        <w:rPr>
          <w:rFonts w:cs="Arial"/>
          <w:szCs w:val="24"/>
        </w:rPr>
        <w:t xml:space="preserve"> feasible alternative</w:t>
      </w:r>
      <w:r w:rsidR="006D64FD">
        <w:rPr>
          <w:rFonts w:cs="Arial"/>
          <w:szCs w:val="24"/>
        </w:rPr>
        <w:t>s</w:t>
      </w:r>
      <w:r>
        <w:rPr>
          <w:rFonts w:cs="Arial"/>
          <w:szCs w:val="24"/>
        </w:rPr>
        <w:t xml:space="preserve"> to </w:t>
      </w:r>
      <w:proofErr w:type="spellStart"/>
      <w:r>
        <w:rPr>
          <w:rFonts w:cs="Arial"/>
          <w:szCs w:val="24"/>
        </w:rPr>
        <w:t>NaI</w:t>
      </w:r>
      <w:proofErr w:type="spellEnd"/>
      <w:r>
        <w:rPr>
          <w:rFonts w:cs="Arial"/>
          <w:szCs w:val="24"/>
        </w:rPr>
        <w:t xml:space="preserve"> </w:t>
      </w:r>
      <w:r w:rsidR="006D64FD">
        <w:rPr>
          <w:rFonts w:cs="Arial"/>
          <w:szCs w:val="24"/>
        </w:rPr>
        <w:t>for the purp</w:t>
      </w:r>
      <w:r w:rsidR="00DD7F64">
        <w:rPr>
          <w:rFonts w:cs="Arial"/>
          <w:szCs w:val="24"/>
        </w:rPr>
        <w:t xml:space="preserve">ose of increasing the </w:t>
      </w:r>
      <w:r w:rsidR="006D64FD">
        <w:rPr>
          <w:rFonts w:cs="Arial"/>
          <w:szCs w:val="24"/>
        </w:rPr>
        <w:t>index of refraction</w:t>
      </w:r>
      <w:r w:rsidR="00DD7F64">
        <w:rPr>
          <w:rFonts w:cs="Arial"/>
          <w:szCs w:val="24"/>
        </w:rPr>
        <w:t xml:space="preserve"> of blood analogs</w:t>
      </w:r>
      <w:r>
        <w:rPr>
          <w:rFonts w:cs="Arial"/>
          <w:szCs w:val="24"/>
        </w:rPr>
        <w:t>.</w:t>
      </w:r>
      <w:r w:rsidR="00DD7F64">
        <w:rPr>
          <w:rFonts w:cs="Arial"/>
          <w:szCs w:val="24"/>
        </w:rPr>
        <w:t xml:space="preserve"> Alternatives to water-</w:t>
      </w:r>
      <w:r w:rsidR="006D64FD">
        <w:rPr>
          <w:rFonts w:cs="Arial"/>
          <w:szCs w:val="24"/>
        </w:rPr>
        <w:t>glycerol solutions were also investigated.</w:t>
      </w:r>
      <w:r>
        <w:rPr>
          <w:rFonts w:cs="Arial"/>
          <w:szCs w:val="24"/>
        </w:rPr>
        <w:t xml:space="preserve"> </w:t>
      </w:r>
      <w:r w:rsidR="006D64FD">
        <w:rPr>
          <w:rFonts w:cs="Arial"/>
          <w:szCs w:val="24"/>
        </w:rPr>
        <w:t>Urea and xylitol were identified as low cost, low density</w:t>
      </w:r>
      <w:r w:rsidR="00DD7F64">
        <w:rPr>
          <w:rFonts w:cs="Arial"/>
          <w:szCs w:val="24"/>
        </w:rPr>
        <w:t>,</w:t>
      </w:r>
      <w:r w:rsidR="006D64FD">
        <w:rPr>
          <w:rFonts w:cs="Arial"/>
          <w:szCs w:val="24"/>
        </w:rPr>
        <w:t xml:space="preserve"> </w:t>
      </w:r>
      <w:r w:rsidR="00371B87">
        <w:rPr>
          <w:rFonts w:cs="Arial"/>
          <w:szCs w:val="24"/>
        </w:rPr>
        <w:t xml:space="preserve">RI </w:t>
      </w:r>
      <w:r w:rsidR="006D64FD">
        <w:rPr>
          <w:rFonts w:cs="Arial"/>
          <w:szCs w:val="24"/>
        </w:rPr>
        <w:t xml:space="preserve">increasing additives. </w:t>
      </w:r>
      <w:r w:rsidR="00DD7F64">
        <w:rPr>
          <w:rFonts w:cs="Arial"/>
          <w:szCs w:val="24"/>
        </w:rPr>
        <w:t xml:space="preserve">Both urea and xylitol are safer and about 5x </w:t>
      </w:r>
      <w:r w:rsidR="00076622">
        <w:rPr>
          <w:rFonts w:cs="Arial"/>
          <w:szCs w:val="24"/>
        </w:rPr>
        <w:t>less-expensive per unit mass</w:t>
      </w:r>
      <w:r w:rsidR="00DD7F64">
        <w:rPr>
          <w:rFonts w:cs="Arial"/>
          <w:szCs w:val="24"/>
        </w:rPr>
        <w:t xml:space="preserve"> than </w:t>
      </w:r>
      <w:proofErr w:type="spellStart"/>
      <w:r w:rsidR="00DD7F64">
        <w:rPr>
          <w:rFonts w:cs="Arial"/>
          <w:szCs w:val="24"/>
        </w:rPr>
        <w:t>NaI</w:t>
      </w:r>
      <w:proofErr w:type="spellEnd"/>
      <w:r w:rsidR="00DD7F64">
        <w:rPr>
          <w:rFonts w:cs="Arial"/>
          <w:szCs w:val="24"/>
        </w:rPr>
        <w:t xml:space="preserve">. Urea solutions </w:t>
      </w:r>
      <w:r w:rsidR="002E60BD">
        <w:rPr>
          <w:rFonts w:cs="Arial"/>
          <w:szCs w:val="24"/>
        </w:rPr>
        <w:t xml:space="preserve">are </w:t>
      </w:r>
      <w:r w:rsidR="00DD7F64">
        <w:rPr>
          <w:rFonts w:cs="Arial"/>
          <w:szCs w:val="24"/>
        </w:rPr>
        <w:t xml:space="preserve">also more stable than </w:t>
      </w:r>
      <w:proofErr w:type="spellStart"/>
      <w:r w:rsidR="00DD7F64">
        <w:rPr>
          <w:rFonts w:cs="Arial"/>
          <w:szCs w:val="24"/>
        </w:rPr>
        <w:t>NaI</w:t>
      </w:r>
      <w:proofErr w:type="spellEnd"/>
      <w:r w:rsidR="00DD7F64">
        <w:rPr>
          <w:rFonts w:cs="Arial"/>
          <w:szCs w:val="24"/>
        </w:rPr>
        <w:t xml:space="preserve">, </w:t>
      </w:r>
      <w:r w:rsidR="00F710C5">
        <w:rPr>
          <w:rFonts w:cs="Arial"/>
          <w:szCs w:val="24"/>
        </w:rPr>
        <w:t>improving the safety and usability of long-term stored solutions.</w:t>
      </w:r>
      <w:r w:rsidR="00DD7F64">
        <w:rPr>
          <w:rFonts w:cs="Arial"/>
          <w:szCs w:val="24"/>
        </w:rPr>
        <w:t xml:space="preserve"> </w:t>
      </w:r>
      <w:r>
        <w:rPr>
          <w:rFonts w:cs="Arial"/>
          <w:szCs w:val="24"/>
        </w:rPr>
        <w:t>Table 1 summarizes the properties of each additive used in this study.</w:t>
      </w:r>
    </w:p>
    <w:p w14:paraId="4300D09F" w14:textId="77777777" w:rsidR="00FF5041" w:rsidRDefault="00FF5041" w:rsidP="00FF5041">
      <w:pPr>
        <w:rPr>
          <w:rFonts w:cs="Arial"/>
          <w:szCs w:val="24"/>
        </w:rPr>
      </w:pPr>
    </w:p>
    <w:p w14:paraId="11504E50" w14:textId="7384292A" w:rsidR="00FF5041" w:rsidRDefault="00FF5041" w:rsidP="00E27CBC">
      <w:pPr>
        <w:rPr>
          <w:rStyle w:val="CommentReference"/>
          <w:rFonts w:eastAsia="Times New Roman"/>
        </w:rPr>
      </w:pPr>
      <w:r w:rsidRPr="00E27CBC">
        <w:rPr>
          <w:rFonts w:cs="Arial"/>
          <w:b/>
          <w:szCs w:val="24"/>
        </w:rPr>
        <w:t>Table 1</w:t>
      </w:r>
      <w:r w:rsidR="00F96D27">
        <w:rPr>
          <w:rFonts w:cs="Arial"/>
          <w:b/>
          <w:szCs w:val="24"/>
        </w:rPr>
        <w:t xml:space="preserve">. </w:t>
      </w:r>
      <w:r w:rsidR="00F96D27">
        <w:rPr>
          <w:rFonts w:cs="Arial"/>
          <w:szCs w:val="24"/>
        </w:rPr>
        <w:t>Pro</w:t>
      </w:r>
      <w:r w:rsidR="002B270C">
        <w:rPr>
          <w:rFonts w:cs="Arial"/>
          <w:szCs w:val="24"/>
        </w:rPr>
        <w:t>perties of chemical additives used in</w:t>
      </w:r>
      <w:r w:rsidR="00F96D27">
        <w:rPr>
          <w:rFonts w:cs="Arial"/>
          <w:szCs w:val="24"/>
        </w:rPr>
        <w:t xml:space="preserve"> two-component</w:t>
      </w:r>
      <w:r w:rsidR="002B270C">
        <w:rPr>
          <w:rFonts w:cs="Arial"/>
          <w:szCs w:val="24"/>
        </w:rPr>
        <w:t xml:space="preserve"> </w:t>
      </w:r>
      <w:r w:rsidR="00F96D27">
        <w:rPr>
          <w:rFonts w:cs="Arial"/>
          <w:szCs w:val="24"/>
        </w:rPr>
        <w:t>solutions</w:t>
      </w:r>
      <w:r w:rsidR="0005776C">
        <w:rPr>
          <w:rFonts w:cs="Arial"/>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967"/>
        <w:gridCol w:w="1290"/>
        <w:gridCol w:w="1350"/>
        <w:gridCol w:w="1440"/>
        <w:gridCol w:w="1686"/>
      </w:tblGrid>
      <w:tr w:rsidR="00F61C11" w14:paraId="4BF12AEB" w14:textId="77777777" w:rsidTr="00F61C11">
        <w:tc>
          <w:tcPr>
            <w:tcW w:w="1980" w:type="dxa"/>
            <w:tcBorders>
              <w:top w:val="single" w:sz="4" w:space="0" w:color="auto"/>
              <w:bottom w:val="single" w:sz="4" w:space="0" w:color="auto"/>
            </w:tcBorders>
            <w:vAlign w:val="center"/>
          </w:tcPr>
          <w:p w14:paraId="42A4F829" w14:textId="77777777" w:rsidR="00F61C11" w:rsidRPr="00F61C11" w:rsidRDefault="00F61C11" w:rsidP="002A1E7C">
            <w:pPr>
              <w:jc w:val="center"/>
              <w:rPr>
                <w:sz w:val="18"/>
                <w:szCs w:val="18"/>
              </w:rPr>
            </w:pPr>
            <w:r w:rsidRPr="00F61C11">
              <w:rPr>
                <w:sz w:val="18"/>
                <w:szCs w:val="18"/>
              </w:rPr>
              <w:t>Material</w:t>
            </w:r>
          </w:p>
        </w:tc>
        <w:tc>
          <w:tcPr>
            <w:tcW w:w="967" w:type="dxa"/>
            <w:tcBorders>
              <w:top w:val="single" w:sz="4" w:space="0" w:color="auto"/>
              <w:bottom w:val="single" w:sz="4" w:space="0" w:color="auto"/>
            </w:tcBorders>
            <w:vAlign w:val="center"/>
          </w:tcPr>
          <w:p w14:paraId="4DD11FA6" w14:textId="77777777" w:rsidR="00F61C11" w:rsidRPr="00F61C11" w:rsidRDefault="00F61C11" w:rsidP="002A1E7C">
            <w:pPr>
              <w:jc w:val="center"/>
              <w:rPr>
                <w:sz w:val="18"/>
                <w:szCs w:val="18"/>
              </w:rPr>
            </w:pPr>
            <w:r w:rsidRPr="00F61C11">
              <w:rPr>
                <w:sz w:val="18"/>
                <w:szCs w:val="18"/>
              </w:rPr>
              <w:t>Chemical Formula</w:t>
            </w:r>
          </w:p>
        </w:tc>
        <w:tc>
          <w:tcPr>
            <w:tcW w:w="1290" w:type="dxa"/>
            <w:tcBorders>
              <w:top w:val="single" w:sz="4" w:space="0" w:color="auto"/>
              <w:bottom w:val="single" w:sz="4" w:space="0" w:color="auto"/>
            </w:tcBorders>
            <w:vAlign w:val="center"/>
          </w:tcPr>
          <w:p w14:paraId="6AB80C94" w14:textId="77777777" w:rsidR="00F61C11" w:rsidRPr="00F61C11" w:rsidRDefault="00F61C11" w:rsidP="002A1E7C">
            <w:pPr>
              <w:jc w:val="center"/>
              <w:rPr>
                <w:sz w:val="18"/>
                <w:szCs w:val="18"/>
              </w:rPr>
            </w:pPr>
            <w:r w:rsidRPr="00F61C11">
              <w:rPr>
                <w:sz w:val="18"/>
                <w:szCs w:val="18"/>
              </w:rPr>
              <w:t>Density (kg/m</w:t>
            </w:r>
            <w:r w:rsidRPr="00F61C11">
              <w:rPr>
                <w:sz w:val="18"/>
                <w:szCs w:val="18"/>
                <w:vertAlign w:val="superscript"/>
              </w:rPr>
              <w:t>3</w:t>
            </w:r>
            <w:r w:rsidRPr="00F61C11">
              <w:rPr>
                <w:sz w:val="18"/>
                <w:szCs w:val="18"/>
              </w:rPr>
              <w:t>)</w:t>
            </w:r>
          </w:p>
        </w:tc>
        <w:tc>
          <w:tcPr>
            <w:tcW w:w="1350" w:type="dxa"/>
            <w:tcBorders>
              <w:top w:val="single" w:sz="4" w:space="0" w:color="auto"/>
              <w:bottom w:val="single" w:sz="4" w:space="0" w:color="auto"/>
            </w:tcBorders>
            <w:vAlign w:val="center"/>
          </w:tcPr>
          <w:p w14:paraId="31C76B79" w14:textId="77777777" w:rsidR="00F61C11" w:rsidRPr="00F61C11" w:rsidRDefault="00F61C11" w:rsidP="002A1E7C">
            <w:pPr>
              <w:jc w:val="center"/>
              <w:rPr>
                <w:sz w:val="18"/>
                <w:szCs w:val="18"/>
              </w:rPr>
            </w:pPr>
            <w:r w:rsidRPr="00F61C11">
              <w:rPr>
                <w:sz w:val="18"/>
                <w:szCs w:val="18"/>
              </w:rPr>
              <w:t>Solubility (g/L)</w:t>
            </w:r>
          </w:p>
        </w:tc>
        <w:tc>
          <w:tcPr>
            <w:tcW w:w="1440" w:type="dxa"/>
            <w:tcBorders>
              <w:top w:val="single" w:sz="4" w:space="0" w:color="auto"/>
              <w:bottom w:val="single" w:sz="4" w:space="0" w:color="auto"/>
            </w:tcBorders>
            <w:vAlign w:val="center"/>
          </w:tcPr>
          <w:p w14:paraId="4A72D567" w14:textId="79FF9CD5" w:rsidR="00F61C11" w:rsidRPr="004A08CC" w:rsidRDefault="00F61C11" w:rsidP="002A1E7C">
            <w:pPr>
              <w:jc w:val="center"/>
              <w:rPr>
                <w:sz w:val="18"/>
                <w:szCs w:val="18"/>
                <w:vertAlign w:val="superscript"/>
              </w:rPr>
            </w:pPr>
            <w:r w:rsidRPr="00F61C11">
              <w:rPr>
                <w:sz w:val="18"/>
                <w:szCs w:val="18"/>
              </w:rPr>
              <w:t xml:space="preserve">Cost per </w:t>
            </w:r>
            <w:r w:rsidR="00A17F87">
              <w:rPr>
                <w:sz w:val="18"/>
                <w:szCs w:val="18"/>
              </w:rPr>
              <w:t>500g</w:t>
            </w:r>
            <w:r w:rsidR="00541708">
              <w:rPr>
                <w:sz w:val="18"/>
                <w:szCs w:val="18"/>
              </w:rPr>
              <w:t xml:space="preserve"> </w:t>
            </w:r>
            <w:r w:rsidRPr="00F61C11">
              <w:rPr>
                <w:sz w:val="18"/>
                <w:szCs w:val="18"/>
              </w:rPr>
              <w:t>(USD)</w:t>
            </w:r>
            <w:r w:rsidR="004A08CC">
              <w:rPr>
                <w:sz w:val="18"/>
                <w:szCs w:val="18"/>
                <w:vertAlign w:val="superscript"/>
              </w:rPr>
              <w:t>†</w:t>
            </w:r>
          </w:p>
        </w:tc>
        <w:tc>
          <w:tcPr>
            <w:tcW w:w="1686" w:type="dxa"/>
            <w:tcBorders>
              <w:top w:val="single" w:sz="4" w:space="0" w:color="auto"/>
              <w:bottom w:val="single" w:sz="4" w:space="0" w:color="auto"/>
            </w:tcBorders>
            <w:vAlign w:val="center"/>
          </w:tcPr>
          <w:p w14:paraId="32719F18" w14:textId="7023F34E" w:rsidR="00F61C11" w:rsidRPr="00F61C11" w:rsidRDefault="00F61C11" w:rsidP="002A1E7C">
            <w:pPr>
              <w:jc w:val="center"/>
              <w:rPr>
                <w:sz w:val="18"/>
                <w:szCs w:val="18"/>
                <w:vertAlign w:val="superscript"/>
              </w:rPr>
            </w:pPr>
            <w:r w:rsidRPr="00F61C11">
              <w:rPr>
                <w:sz w:val="18"/>
                <w:szCs w:val="18"/>
              </w:rPr>
              <w:t>Safety</w:t>
            </w:r>
            <w:r w:rsidR="004A08CC">
              <w:rPr>
                <w:sz w:val="18"/>
                <w:szCs w:val="18"/>
                <w:vertAlign w:val="superscript"/>
              </w:rPr>
              <w:t>‡</w:t>
            </w:r>
          </w:p>
        </w:tc>
      </w:tr>
      <w:tr w:rsidR="00F61C11" w14:paraId="19DC88C4" w14:textId="77777777" w:rsidTr="00F61C11">
        <w:tc>
          <w:tcPr>
            <w:tcW w:w="1980" w:type="dxa"/>
            <w:tcBorders>
              <w:top w:val="single" w:sz="4" w:space="0" w:color="auto"/>
              <w:bottom w:val="single" w:sz="4" w:space="0" w:color="FFFFFF" w:themeColor="background1"/>
            </w:tcBorders>
            <w:shd w:val="clear" w:color="auto" w:fill="auto"/>
            <w:vAlign w:val="center"/>
          </w:tcPr>
          <w:p w14:paraId="7E0852FB" w14:textId="77777777" w:rsidR="00F61C11" w:rsidRPr="00F61C11" w:rsidRDefault="00F61C11" w:rsidP="002A1E7C">
            <w:pPr>
              <w:jc w:val="center"/>
              <w:rPr>
                <w:sz w:val="18"/>
                <w:szCs w:val="18"/>
              </w:rPr>
            </w:pPr>
            <w:r w:rsidRPr="00F61C11">
              <w:rPr>
                <w:sz w:val="18"/>
                <w:szCs w:val="18"/>
              </w:rPr>
              <w:t>Urea</w:t>
            </w:r>
          </w:p>
        </w:tc>
        <w:tc>
          <w:tcPr>
            <w:tcW w:w="967" w:type="dxa"/>
            <w:tcBorders>
              <w:top w:val="single" w:sz="4" w:space="0" w:color="auto"/>
              <w:bottom w:val="single" w:sz="4" w:space="0" w:color="FFFFFF" w:themeColor="background1"/>
            </w:tcBorders>
            <w:vAlign w:val="center"/>
          </w:tcPr>
          <w:p w14:paraId="206470AE" w14:textId="77777777" w:rsidR="00F61C11" w:rsidRPr="00F61C11" w:rsidRDefault="00F61C11" w:rsidP="002A1E7C">
            <w:pPr>
              <w:jc w:val="center"/>
              <w:rPr>
                <w:sz w:val="18"/>
                <w:szCs w:val="18"/>
              </w:rPr>
            </w:pPr>
            <w:r w:rsidRPr="00F61C11">
              <w:rPr>
                <w:sz w:val="18"/>
                <w:szCs w:val="18"/>
              </w:rPr>
              <w:t>CH</w:t>
            </w:r>
            <w:r w:rsidRPr="00F61C11">
              <w:rPr>
                <w:sz w:val="18"/>
                <w:szCs w:val="18"/>
                <w:vertAlign w:val="subscript"/>
              </w:rPr>
              <w:t>4</w:t>
            </w:r>
            <w:r w:rsidRPr="00F61C11">
              <w:rPr>
                <w:sz w:val="18"/>
                <w:szCs w:val="18"/>
              </w:rPr>
              <w:t>N</w:t>
            </w:r>
            <w:r w:rsidRPr="00F61C11">
              <w:rPr>
                <w:sz w:val="18"/>
                <w:szCs w:val="18"/>
                <w:vertAlign w:val="subscript"/>
              </w:rPr>
              <w:t>2</w:t>
            </w:r>
            <w:r w:rsidRPr="00F61C11">
              <w:rPr>
                <w:sz w:val="18"/>
                <w:szCs w:val="18"/>
              </w:rPr>
              <w:t>O</w:t>
            </w:r>
          </w:p>
        </w:tc>
        <w:tc>
          <w:tcPr>
            <w:tcW w:w="1290" w:type="dxa"/>
            <w:tcBorders>
              <w:top w:val="single" w:sz="4" w:space="0" w:color="auto"/>
              <w:bottom w:val="single" w:sz="4" w:space="0" w:color="FFFFFF" w:themeColor="background1"/>
            </w:tcBorders>
            <w:vAlign w:val="center"/>
          </w:tcPr>
          <w:p w14:paraId="484382AD" w14:textId="77777777" w:rsidR="00F61C11" w:rsidRPr="00F61C11" w:rsidRDefault="00F61C11" w:rsidP="002A1E7C">
            <w:pPr>
              <w:jc w:val="center"/>
              <w:rPr>
                <w:sz w:val="18"/>
                <w:szCs w:val="18"/>
              </w:rPr>
            </w:pPr>
            <w:r w:rsidRPr="00F61C11">
              <w:rPr>
                <w:sz w:val="18"/>
                <w:szCs w:val="18"/>
              </w:rPr>
              <w:t>1320</w:t>
            </w:r>
          </w:p>
        </w:tc>
        <w:tc>
          <w:tcPr>
            <w:tcW w:w="1350" w:type="dxa"/>
            <w:tcBorders>
              <w:top w:val="single" w:sz="4" w:space="0" w:color="auto"/>
              <w:bottom w:val="single" w:sz="4" w:space="0" w:color="FFFFFF" w:themeColor="background1"/>
            </w:tcBorders>
            <w:vAlign w:val="center"/>
          </w:tcPr>
          <w:p w14:paraId="60F8FAEA" w14:textId="77777777" w:rsidR="00F61C11" w:rsidRPr="00F61C11" w:rsidRDefault="00F61C11" w:rsidP="002A1E7C">
            <w:pPr>
              <w:jc w:val="center"/>
              <w:rPr>
                <w:sz w:val="18"/>
                <w:szCs w:val="18"/>
              </w:rPr>
            </w:pPr>
            <w:r w:rsidRPr="00F61C11">
              <w:rPr>
                <w:sz w:val="18"/>
                <w:szCs w:val="18"/>
              </w:rPr>
              <w:t>545</w:t>
            </w:r>
          </w:p>
          <w:p w14:paraId="4ABEDB91" w14:textId="77777777" w:rsidR="00F61C11" w:rsidRPr="00F61C11" w:rsidRDefault="00F61C11" w:rsidP="002A1E7C">
            <w:pPr>
              <w:jc w:val="center"/>
              <w:rPr>
                <w:sz w:val="18"/>
                <w:szCs w:val="18"/>
              </w:rPr>
            </w:pPr>
            <w:r w:rsidRPr="00F61C11">
              <w:rPr>
                <w:color w:val="000000" w:themeColor="text1"/>
                <w:sz w:val="18"/>
                <w:szCs w:val="18"/>
              </w:rPr>
              <w:t>(25</w:t>
            </w:r>
            <w:r w:rsidRPr="00F61C11">
              <w:rPr>
                <w:color w:val="000000" w:themeColor="text1"/>
                <w:sz w:val="18"/>
                <w:szCs w:val="18"/>
                <w:vertAlign w:val="superscript"/>
              </w:rPr>
              <w:sym w:font="Symbol" w:char="F0B0"/>
            </w:r>
            <w:r w:rsidRPr="00F61C11">
              <w:rPr>
                <w:color w:val="000000" w:themeColor="text1"/>
                <w:sz w:val="18"/>
                <w:szCs w:val="18"/>
              </w:rPr>
              <w:t>C)</w:t>
            </w:r>
          </w:p>
        </w:tc>
        <w:tc>
          <w:tcPr>
            <w:tcW w:w="1440" w:type="dxa"/>
            <w:tcBorders>
              <w:top w:val="single" w:sz="4" w:space="0" w:color="auto"/>
              <w:bottom w:val="single" w:sz="4" w:space="0" w:color="FFFFFF" w:themeColor="background1"/>
            </w:tcBorders>
            <w:vAlign w:val="center"/>
          </w:tcPr>
          <w:p w14:paraId="16FA2D7C" w14:textId="558F5012" w:rsidR="00F61C11" w:rsidRPr="00F61C11" w:rsidRDefault="00F61C11" w:rsidP="002A1E7C">
            <w:pPr>
              <w:jc w:val="center"/>
              <w:rPr>
                <w:sz w:val="18"/>
                <w:szCs w:val="18"/>
              </w:rPr>
            </w:pPr>
            <w:r w:rsidRPr="00F61C11">
              <w:rPr>
                <w:sz w:val="18"/>
                <w:szCs w:val="18"/>
              </w:rPr>
              <w:t>$</w:t>
            </w:r>
            <w:r w:rsidR="00A17F87">
              <w:rPr>
                <w:sz w:val="18"/>
                <w:szCs w:val="18"/>
              </w:rPr>
              <w:t>8.95 - 58.90</w:t>
            </w:r>
          </w:p>
        </w:tc>
        <w:tc>
          <w:tcPr>
            <w:tcW w:w="1686" w:type="dxa"/>
            <w:tcBorders>
              <w:top w:val="single" w:sz="4" w:space="0" w:color="auto"/>
              <w:bottom w:val="single" w:sz="4" w:space="0" w:color="FFFFFF" w:themeColor="background1"/>
            </w:tcBorders>
            <w:vAlign w:val="center"/>
          </w:tcPr>
          <w:p w14:paraId="16AF9F6D" w14:textId="77777777" w:rsidR="00F61C11" w:rsidRPr="00F61C11" w:rsidRDefault="00F61C11" w:rsidP="002A1E7C">
            <w:pPr>
              <w:jc w:val="center"/>
              <w:rPr>
                <w:sz w:val="18"/>
                <w:szCs w:val="18"/>
              </w:rPr>
            </w:pPr>
            <w:r w:rsidRPr="00F61C11">
              <w:rPr>
                <w:sz w:val="18"/>
                <w:szCs w:val="18"/>
              </w:rPr>
              <w:t>Health: 1</w:t>
            </w:r>
          </w:p>
          <w:p w14:paraId="6A83E6F8" w14:textId="77777777" w:rsidR="00F61C11" w:rsidRPr="00F61C11" w:rsidRDefault="00F61C11" w:rsidP="002A1E7C">
            <w:pPr>
              <w:jc w:val="center"/>
              <w:rPr>
                <w:sz w:val="18"/>
                <w:szCs w:val="18"/>
              </w:rPr>
            </w:pPr>
            <w:r w:rsidRPr="00F61C11">
              <w:rPr>
                <w:sz w:val="18"/>
                <w:szCs w:val="18"/>
              </w:rPr>
              <w:t>Flammability: 0</w:t>
            </w:r>
          </w:p>
          <w:p w14:paraId="6140B825" w14:textId="77777777" w:rsidR="00F61C11" w:rsidRPr="00F61C11" w:rsidRDefault="00F61C11" w:rsidP="002A1E7C">
            <w:pPr>
              <w:jc w:val="center"/>
              <w:rPr>
                <w:sz w:val="18"/>
                <w:szCs w:val="18"/>
              </w:rPr>
            </w:pPr>
            <w:r w:rsidRPr="00F61C11">
              <w:rPr>
                <w:sz w:val="18"/>
                <w:szCs w:val="18"/>
              </w:rPr>
              <w:t>Instability: 0</w:t>
            </w:r>
          </w:p>
          <w:p w14:paraId="0AE54D8B" w14:textId="42B2A83D" w:rsidR="00F61C11" w:rsidRPr="00F61C11" w:rsidRDefault="00F61C11" w:rsidP="002A1E7C">
            <w:pPr>
              <w:jc w:val="center"/>
              <w:rPr>
                <w:sz w:val="8"/>
                <w:szCs w:val="8"/>
              </w:rPr>
            </w:pPr>
          </w:p>
        </w:tc>
      </w:tr>
      <w:tr w:rsidR="00F61C11" w14:paraId="6A162B7D" w14:textId="77777777" w:rsidTr="00F61C11">
        <w:tc>
          <w:tcPr>
            <w:tcW w:w="1980" w:type="dxa"/>
            <w:tcBorders>
              <w:top w:val="single" w:sz="4" w:space="0" w:color="FFFFFF" w:themeColor="background1"/>
            </w:tcBorders>
            <w:shd w:val="clear" w:color="auto" w:fill="auto"/>
            <w:vAlign w:val="center"/>
          </w:tcPr>
          <w:p w14:paraId="3C7794AE" w14:textId="77777777" w:rsidR="00F61C11" w:rsidRPr="00F61C11" w:rsidRDefault="00F61C11" w:rsidP="002A1E7C">
            <w:pPr>
              <w:jc w:val="center"/>
              <w:rPr>
                <w:sz w:val="18"/>
                <w:szCs w:val="18"/>
              </w:rPr>
            </w:pPr>
            <w:r w:rsidRPr="00F61C11">
              <w:rPr>
                <w:sz w:val="18"/>
                <w:szCs w:val="18"/>
              </w:rPr>
              <w:t>Sodium Iodide</w:t>
            </w:r>
          </w:p>
        </w:tc>
        <w:tc>
          <w:tcPr>
            <w:tcW w:w="967" w:type="dxa"/>
            <w:tcBorders>
              <w:top w:val="single" w:sz="4" w:space="0" w:color="FFFFFF" w:themeColor="background1"/>
            </w:tcBorders>
            <w:vAlign w:val="center"/>
          </w:tcPr>
          <w:p w14:paraId="528FAA02" w14:textId="77777777" w:rsidR="00F61C11" w:rsidRPr="00F61C11" w:rsidRDefault="00F61C11" w:rsidP="002A1E7C">
            <w:pPr>
              <w:jc w:val="center"/>
              <w:rPr>
                <w:sz w:val="18"/>
                <w:szCs w:val="18"/>
              </w:rPr>
            </w:pPr>
            <w:proofErr w:type="spellStart"/>
            <w:r w:rsidRPr="00F61C11">
              <w:rPr>
                <w:sz w:val="18"/>
                <w:szCs w:val="18"/>
              </w:rPr>
              <w:t>NaI</w:t>
            </w:r>
            <w:proofErr w:type="spellEnd"/>
          </w:p>
        </w:tc>
        <w:tc>
          <w:tcPr>
            <w:tcW w:w="1290" w:type="dxa"/>
            <w:tcBorders>
              <w:top w:val="single" w:sz="4" w:space="0" w:color="FFFFFF" w:themeColor="background1"/>
            </w:tcBorders>
            <w:vAlign w:val="center"/>
          </w:tcPr>
          <w:p w14:paraId="6C79DD8C" w14:textId="77777777" w:rsidR="00F61C11" w:rsidRPr="00F61C11" w:rsidRDefault="00F61C11" w:rsidP="002A1E7C">
            <w:pPr>
              <w:jc w:val="center"/>
              <w:rPr>
                <w:sz w:val="18"/>
                <w:szCs w:val="18"/>
              </w:rPr>
            </w:pPr>
            <w:r w:rsidRPr="00F61C11">
              <w:rPr>
                <w:sz w:val="18"/>
                <w:szCs w:val="18"/>
              </w:rPr>
              <w:t>3670</w:t>
            </w:r>
          </w:p>
        </w:tc>
        <w:tc>
          <w:tcPr>
            <w:tcW w:w="1350" w:type="dxa"/>
            <w:tcBorders>
              <w:top w:val="single" w:sz="4" w:space="0" w:color="FFFFFF" w:themeColor="background1"/>
            </w:tcBorders>
            <w:vAlign w:val="center"/>
          </w:tcPr>
          <w:p w14:paraId="1A35475C" w14:textId="77777777" w:rsidR="00F61C11" w:rsidRPr="00F61C11" w:rsidRDefault="00F61C11" w:rsidP="002A1E7C">
            <w:pPr>
              <w:jc w:val="center"/>
              <w:rPr>
                <w:sz w:val="18"/>
                <w:szCs w:val="18"/>
              </w:rPr>
            </w:pPr>
            <w:r w:rsidRPr="00F61C11">
              <w:rPr>
                <w:sz w:val="18"/>
                <w:szCs w:val="18"/>
              </w:rPr>
              <w:t>1840</w:t>
            </w:r>
          </w:p>
          <w:p w14:paraId="08FF65DF" w14:textId="77777777" w:rsidR="00F61C11" w:rsidRPr="00F61C11" w:rsidRDefault="00F61C11" w:rsidP="002A1E7C">
            <w:pPr>
              <w:jc w:val="center"/>
              <w:rPr>
                <w:sz w:val="18"/>
                <w:szCs w:val="18"/>
              </w:rPr>
            </w:pPr>
            <w:r w:rsidRPr="00F61C11">
              <w:rPr>
                <w:sz w:val="18"/>
                <w:szCs w:val="18"/>
              </w:rPr>
              <w:t>(25</w:t>
            </w:r>
            <w:r w:rsidRPr="00F61C11">
              <w:rPr>
                <w:sz w:val="18"/>
                <w:szCs w:val="18"/>
                <w:vertAlign w:val="superscript"/>
              </w:rPr>
              <w:sym w:font="Symbol" w:char="F0B0"/>
            </w:r>
            <w:r w:rsidRPr="00F61C11">
              <w:rPr>
                <w:sz w:val="18"/>
                <w:szCs w:val="18"/>
              </w:rPr>
              <w:t>C)</w:t>
            </w:r>
          </w:p>
        </w:tc>
        <w:tc>
          <w:tcPr>
            <w:tcW w:w="1440" w:type="dxa"/>
            <w:tcBorders>
              <w:top w:val="single" w:sz="4" w:space="0" w:color="FFFFFF" w:themeColor="background1"/>
            </w:tcBorders>
            <w:vAlign w:val="center"/>
          </w:tcPr>
          <w:p w14:paraId="48F3E07F" w14:textId="697B2E48" w:rsidR="00F61C11" w:rsidRPr="00F61C11" w:rsidRDefault="00F61C11" w:rsidP="002A1E7C">
            <w:pPr>
              <w:jc w:val="center"/>
              <w:rPr>
                <w:sz w:val="18"/>
                <w:szCs w:val="18"/>
              </w:rPr>
            </w:pPr>
            <w:r w:rsidRPr="00F61C11">
              <w:rPr>
                <w:sz w:val="18"/>
                <w:szCs w:val="18"/>
              </w:rPr>
              <w:t>$</w:t>
            </w:r>
            <w:r w:rsidR="00A17F87">
              <w:rPr>
                <w:sz w:val="18"/>
                <w:szCs w:val="18"/>
              </w:rPr>
              <w:t>141.80 - 264.00</w:t>
            </w:r>
          </w:p>
        </w:tc>
        <w:tc>
          <w:tcPr>
            <w:tcW w:w="1686" w:type="dxa"/>
            <w:tcBorders>
              <w:top w:val="single" w:sz="4" w:space="0" w:color="FFFFFF" w:themeColor="background1"/>
            </w:tcBorders>
            <w:vAlign w:val="center"/>
          </w:tcPr>
          <w:p w14:paraId="4EF842B9" w14:textId="77777777" w:rsidR="00F61C11" w:rsidRPr="00F61C11" w:rsidRDefault="00F61C11" w:rsidP="002A1E7C">
            <w:pPr>
              <w:jc w:val="center"/>
              <w:rPr>
                <w:sz w:val="18"/>
                <w:szCs w:val="18"/>
              </w:rPr>
            </w:pPr>
            <w:r w:rsidRPr="00F61C11">
              <w:rPr>
                <w:sz w:val="18"/>
                <w:szCs w:val="18"/>
              </w:rPr>
              <w:t>Health: 2</w:t>
            </w:r>
          </w:p>
          <w:p w14:paraId="2524A433" w14:textId="77777777" w:rsidR="00F61C11" w:rsidRPr="00F61C11" w:rsidRDefault="00F61C11" w:rsidP="002A1E7C">
            <w:pPr>
              <w:jc w:val="center"/>
              <w:rPr>
                <w:sz w:val="18"/>
                <w:szCs w:val="18"/>
              </w:rPr>
            </w:pPr>
            <w:r w:rsidRPr="00F61C11">
              <w:rPr>
                <w:sz w:val="18"/>
                <w:szCs w:val="18"/>
              </w:rPr>
              <w:t>Flammability: 0</w:t>
            </w:r>
          </w:p>
          <w:p w14:paraId="09BC0F13" w14:textId="77777777" w:rsidR="00F61C11" w:rsidRPr="00F61C11" w:rsidRDefault="00F61C11" w:rsidP="002A1E7C">
            <w:pPr>
              <w:jc w:val="center"/>
              <w:rPr>
                <w:sz w:val="18"/>
                <w:szCs w:val="18"/>
              </w:rPr>
            </w:pPr>
            <w:r w:rsidRPr="00F61C11">
              <w:rPr>
                <w:sz w:val="18"/>
                <w:szCs w:val="18"/>
              </w:rPr>
              <w:t>Instability: 1</w:t>
            </w:r>
          </w:p>
          <w:p w14:paraId="0E9AF784" w14:textId="77777777" w:rsidR="00F61C11" w:rsidRPr="00F61C11" w:rsidRDefault="00F61C11" w:rsidP="002A1E7C">
            <w:pPr>
              <w:jc w:val="center"/>
              <w:rPr>
                <w:sz w:val="8"/>
                <w:szCs w:val="8"/>
              </w:rPr>
            </w:pPr>
          </w:p>
        </w:tc>
      </w:tr>
      <w:tr w:rsidR="00F61C11" w14:paraId="425CD482" w14:textId="77777777" w:rsidTr="00F61C11">
        <w:tc>
          <w:tcPr>
            <w:tcW w:w="1980" w:type="dxa"/>
            <w:tcBorders>
              <w:bottom w:val="single" w:sz="4" w:space="0" w:color="FFFFFF" w:themeColor="background1"/>
            </w:tcBorders>
            <w:shd w:val="clear" w:color="auto" w:fill="auto"/>
            <w:vAlign w:val="center"/>
          </w:tcPr>
          <w:p w14:paraId="6F8F3E83" w14:textId="77777777" w:rsidR="00F61C11" w:rsidRPr="00F61C11" w:rsidRDefault="00F61C11" w:rsidP="002A1E7C">
            <w:pPr>
              <w:jc w:val="center"/>
              <w:rPr>
                <w:sz w:val="18"/>
                <w:szCs w:val="18"/>
              </w:rPr>
            </w:pPr>
            <w:r w:rsidRPr="00F61C11">
              <w:rPr>
                <w:sz w:val="18"/>
                <w:szCs w:val="18"/>
              </w:rPr>
              <w:t>Xylitol</w:t>
            </w:r>
          </w:p>
        </w:tc>
        <w:tc>
          <w:tcPr>
            <w:tcW w:w="967" w:type="dxa"/>
            <w:tcBorders>
              <w:bottom w:val="single" w:sz="4" w:space="0" w:color="FFFFFF" w:themeColor="background1"/>
            </w:tcBorders>
            <w:vAlign w:val="center"/>
          </w:tcPr>
          <w:p w14:paraId="655E1B34" w14:textId="77777777" w:rsidR="00F61C11" w:rsidRPr="00F61C11" w:rsidRDefault="00F61C11" w:rsidP="002A1E7C">
            <w:pPr>
              <w:jc w:val="center"/>
              <w:rPr>
                <w:sz w:val="18"/>
                <w:szCs w:val="18"/>
                <w:vertAlign w:val="subscript"/>
              </w:rPr>
            </w:pPr>
            <w:r w:rsidRPr="00F61C11">
              <w:rPr>
                <w:sz w:val="18"/>
                <w:szCs w:val="18"/>
              </w:rPr>
              <w:t>C</w:t>
            </w:r>
            <w:r w:rsidRPr="00F61C11">
              <w:rPr>
                <w:sz w:val="18"/>
                <w:szCs w:val="18"/>
                <w:vertAlign w:val="subscript"/>
              </w:rPr>
              <w:t>5</w:t>
            </w:r>
            <w:r w:rsidRPr="00F61C11">
              <w:rPr>
                <w:sz w:val="18"/>
                <w:szCs w:val="18"/>
              </w:rPr>
              <w:t>H</w:t>
            </w:r>
            <w:r w:rsidRPr="00F61C11">
              <w:rPr>
                <w:sz w:val="18"/>
                <w:szCs w:val="18"/>
                <w:vertAlign w:val="subscript"/>
              </w:rPr>
              <w:t>12</w:t>
            </w:r>
            <w:r w:rsidRPr="00F61C11">
              <w:rPr>
                <w:sz w:val="18"/>
                <w:szCs w:val="18"/>
              </w:rPr>
              <w:t>O</w:t>
            </w:r>
            <w:r w:rsidRPr="00F61C11">
              <w:rPr>
                <w:sz w:val="18"/>
                <w:szCs w:val="18"/>
                <w:vertAlign w:val="subscript"/>
              </w:rPr>
              <w:t>5</w:t>
            </w:r>
          </w:p>
        </w:tc>
        <w:tc>
          <w:tcPr>
            <w:tcW w:w="1290" w:type="dxa"/>
            <w:tcBorders>
              <w:bottom w:val="single" w:sz="4" w:space="0" w:color="FFFFFF" w:themeColor="background1"/>
            </w:tcBorders>
            <w:vAlign w:val="center"/>
          </w:tcPr>
          <w:p w14:paraId="66467E38" w14:textId="77777777" w:rsidR="00F61C11" w:rsidRPr="00F61C11" w:rsidRDefault="00F61C11" w:rsidP="002A1E7C">
            <w:pPr>
              <w:jc w:val="center"/>
              <w:rPr>
                <w:sz w:val="18"/>
                <w:szCs w:val="18"/>
              </w:rPr>
            </w:pPr>
            <w:r w:rsidRPr="00F61C11">
              <w:rPr>
                <w:sz w:val="18"/>
                <w:szCs w:val="18"/>
              </w:rPr>
              <w:t>1520</w:t>
            </w:r>
          </w:p>
        </w:tc>
        <w:tc>
          <w:tcPr>
            <w:tcW w:w="1350" w:type="dxa"/>
            <w:tcBorders>
              <w:bottom w:val="single" w:sz="4" w:space="0" w:color="FFFFFF" w:themeColor="background1"/>
            </w:tcBorders>
            <w:vAlign w:val="center"/>
          </w:tcPr>
          <w:p w14:paraId="39650C80" w14:textId="77777777" w:rsidR="00F61C11" w:rsidRPr="00F61C11" w:rsidRDefault="00F61C11" w:rsidP="002A1E7C">
            <w:pPr>
              <w:jc w:val="center"/>
              <w:rPr>
                <w:sz w:val="18"/>
                <w:szCs w:val="18"/>
              </w:rPr>
            </w:pPr>
            <w:r w:rsidRPr="00F61C11">
              <w:rPr>
                <w:sz w:val="18"/>
                <w:szCs w:val="18"/>
              </w:rPr>
              <w:t xml:space="preserve">1700 </w:t>
            </w:r>
          </w:p>
          <w:p w14:paraId="749D6263" w14:textId="77777777" w:rsidR="00F61C11" w:rsidRPr="00F61C11" w:rsidRDefault="00F61C11" w:rsidP="002A1E7C">
            <w:pPr>
              <w:jc w:val="center"/>
              <w:rPr>
                <w:sz w:val="18"/>
                <w:szCs w:val="18"/>
              </w:rPr>
            </w:pPr>
            <w:r w:rsidRPr="00F61C11">
              <w:rPr>
                <w:sz w:val="18"/>
                <w:szCs w:val="18"/>
              </w:rPr>
              <w:t>(20</w:t>
            </w:r>
            <w:r w:rsidRPr="00F61C11">
              <w:rPr>
                <w:sz w:val="18"/>
                <w:szCs w:val="18"/>
                <w:vertAlign w:val="superscript"/>
              </w:rPr>
              <w:sym w:font="Symbol" w:char="F0B0"/>
            </w:r>
            <w:r w:rsidRPr="00F61C11">
              <w:rPr>
                <w:sz w:val="18"/>
                <w:szCs w:val="18"/>
              </w:rPr>
              <w:t>C)</w:t>
            </w:r>
          </w:p>
        </w:tc>
        <w:tc>
          <w:tcPr>
            <w:tcW w:w="1440" w:type="dxa"/>
            <w:tcBorders>
              <w:bottom w:val="single" w:sz="4" w:space="0" w:color="FFFFFF" w:themeColor="background1"/>
            </w:tcBorders>
            <w:vAlign w:val="center"/>
          </w:tcPr>
          <w:p w14:paraId="54D472A4" w14:textId="214C6158" w:rsidR="00F61C11" w:rsidRPr="00F61C11" w:rsidRDefault="00A17F87" w:rsidP="002A1E7C">
            <w:pPr>
              <w:jc w:val="center"/>
              <w:rPr>
                <w:sz w:val="18"/>
                <w:szCs w:val="18"/>
              </w:rPr>
            </w:pPr>
            <w:r>
              <w:rPr>
                <w:sz w:val="18"/>
                <w:szCs w:val="18"/>
              </w:rPr>
              <w:t>$68.30 - 84</w:t>
            </w:r>
            <w:r w:rsidR="00F61C11" w:rsidRPr="00F61C11">
              <w:rPr>
                <w:sz w:val="18"/>
                <w:szCs w:val="18"/>
              </w:rPr>
              <w:t>.00</w:t>
            </w:r>
          </w:p>
        </w:tc>
        <w:tc>
          <w:tcPr>
            <w:tcW w:w="1686" w:type="dxa"/>
            <w:tcBorders>
              <w:bottom w:val="single" w:sz="4" w:space="0" w:color="FFFFFF" w:themeColor="background1"/>
            </w:tcBorders>
            <w:vAlign w:val="center"/>
          </w:tcPr>
          <w:p w14:paraId="753ECF06" w14:textId="77777777" w:rsidR="00F61C11" w:rsidRPr="00F61C11" w:rsidRDefault="00F61C11" w:rsidP="002A1E7C">
            <w:pPr>
              <w:jc w:val="center"/>
              <w:rPr>
                <w:sz w:val="18"/>
                <w:szCs w:val="18"/>
              </w:rPr>
            </w:pPr>
            <w:r w:rsidRPr="00F61C11">
              <w:rPr>
                <w:sz w:val="18"/>
                <w:szCs w:val="18"/>
              </w:rPr>
              <w:t>Health: 1</w:t>
            </w:r>
          </w:p>
          <w:p w14:paraId="05990408" w14:textId="77777777" w:rsidR="00F61C11" w:rsidRPr="00F61C11" w:rsidRDefault="00F61C11" w:rsidP="002A1E7C">
            <w:pPr>
              <w:jc w:val="center"/>
              <w:rPr>
                <w:sz w:val="18"/>
                <w:szCs w:val="18"/>
              </w:rPr>
            </w:pPr>
            <w:r w:rsidRPr="00F61C11">
              <w:rPr>
                <w:sz w:val="18"/>
                <w:szCs w:val="18"/>
              </w:rPr>
              <w:t>Flammability: 0</w:t>
            </w:r>
          </w:p>
          <w:p w14:paraId="5A3C5B48" w14:textId="77777777" w:rsidR="00F61C11" w:rsidRPr="00F61C11" w:rsidRDefault="00F61C11" w:rsidP="002A1E7C">
            <w:pPr>
              <w:jc w:val="center"/>
              <w:rPr>
                <w:sz w:val="18"/>
                <w:szCs w:val="18"/>
              </w:rPr>
            </w:pPr>
            <w:r w:rsidRPr="00F61C11">
              <w:rPr>
                <w:sz w:val="18"/>
                <w:szCs w:val="18"/>
              </w:rPr>
              <w:t>Instability: 1</w:t>
            </w:r>
          </w:p>
          <w:p w14:paraId="5886B1B8" w14:textId="77777777" w:rsidR="00F61C11" w:rsidRPr="00F61C11" w:rsidRDefault="00F61C11" w:rsidP="002A1E7C">
            <w:pPr>
              <w:jc w:val="center"/>
              <w:rPr>
                <w:sz w:val="8"/>
                <w:szCs w:val="8"/>
              </w:rPr>
            </w:pPr>
          </w:p>
        </w:tc>
      </w:tr>
      <w:tr w:rsidR="00F61C11" w14:paraId="1F7F3B8D" w14:textId="77777777" w:rsidTr="00F61C11">
        <w:tc>
          <w:tcPr>
            <w:tcW w:w="1980" w:type="dxa"/>
            <w:tcBorders>
              <w:top w:val="single" w:sz="4" w:space="0" w:color="FFFFFF" w:themeColor="background1"/>
            </w:tcBorders>
            <w:shd w:val="clear" w:color="auto" w:fill="auto"/>
            <w:vAlign w:val="center"/>
          </w:tcPr>
          <w:p w14:paraId="7E5151F2" w14:textId="77777777" w:rsidR="00F61C11" w:rsidRPr="00F61C11" w:rsidRDefault="00F61C11" w:rsidP="002A1E7C">
            <w:pPr>
              <w:jc w:val="center"/>
              <w:rPr>
                <w:sz w:val="18"/>
                <w:szCs w:val="18"/>
              </w:rPr>
            </w:pPr>
            <w:r w:rsidRPr="00F61C11">
              <w:rPr>
                <w:sz w:val="18"/>
                <w:szCs w:val="18"/>
              </w:rPr>
              <w:t>Sodium Chloride</w:t>
            </w:r>
          </w:p>
        </w:tc>
        <w:tc>
          <w:tcPr>
            <w:tcW w:w="967" w:type="dxa"/>
            <w:tcBorders>
              <w:top w:val="single" w:sz="4" w:space="0" w:color="FFFFFF" w:themeColor="background1"/>
            </w:tcBorders>
            <w:vAlign w:val="center"/>
          </w:tcPr>
          <w:p w14:paraId="10C19F23" w14:textId="77777777" w:rsidR="00F61C11" w:rsidRPr="00F61C11" w:rsidRDefault="00F61C11" w:rsidP="002A1E7C">
            <w:pPr>
              <w:jc w:val="center"/>
              <w:rPr>
                <w:sz w:val="18"/>
                <w:szCs w:val="18"/>
              </w:rPr>
            </w:pPr>
            <w:proofErr w:type="spellStart"/>
            <w:r w:rsidRPr="00F61C11">
              <w:rPr>
                <w:sz w:val="18"/>
                <w:szCs w:val="18"/>
              </w:rPr>
              <w:t>NaCl</w:t>
            </w:r>
            <w:proofErr w:type="spellEnd"/>
          </w:p>
        </w:tc>
        <w:tc>
          <w:tcPr>
            <w:tcW w:w="1290" w:type="dxa"/>
            <w:tcBorders>
              <w:top w:val="single" w:sz="4" w:space="0" w:color="FFFFFF" w:themeColor="background1"/>
            </w:tcBorders>
            <w:vAlign w:val="center"/>
          </w:tcPr>
          <w:p w14:paraId="6F02BCAE" w14:textId="77777777" w:rsidR="00F61C11" w:rsidRPr="00F61C11" w:rsidRDefault="00F61C11" w:rsidP="002A1E7C">
            <w:pPr>
              <w:jc w:val="center"/>
              <w:rPr>
                <w:sz w:val="18"/>
                <w:szCs w:val="18"/>
              </w:rPr>
            </w:pPr>
            <w:r w:rsidRPr="00F61C11">
              <w:rPr>
                <w:sz w:val="18"/>
                <w:szCs w:val="18"/>
              </w:rPr>
              <w:t>2160</w:t>
            </w:r>
          </w:p>
        </w:tc>
        <w:tc>
          <w:tcPr>
            <w:tcW w:w="1350" w:type="dxa"/>
            <w:tcBorders>
              <w:top w:val="single" w:sz="4" w:space="0" w:color="FFFFFF" w:themeColor="background1"/>
            </w:tcBorders>
            <w:vAlign w:val="center"/>
          </w:tcPr>
          <w:p w14:paraId="570D5D8A" w14:textId="77777777" w:rsidR="00F61C11" w:rsidRPr="00F61C11" w:rsidRDefault="00F61C11" w:rsidP="002A1E7C">
            <w:pPr>
              <w:jc w:val="center"/>
              <w:rPr>
                <w:sz w:val="18"/>
                <w:szCs w:val="18"/>
              </w:rPr>
            </w:pPr>
            <w:r w:rsidRPr="00F61C11">
              <w:rPr>
                <w:sz w:val="18"/>
                <w:szCs w:val="18"/>
              </w:rPr>
              <w:t>100</w:t>
            </w:r>
          </w:p>
          <w:p w14:paraId="36CA5A90" w14:textId="77777777" w:rsidR="00F61C11" w:rsidRPr="00F61C11" w:rsidRDefault="00F61C11" w:rsidP="002A1E7C">
            <w:pPr>
              <w:jc w:val="center"/>
              <w:rPr>
                <w:sz w:val="18"/>
                <w:szCs w:val="18"/>
              </w:rPr>
            </w:pPr>
            <w:r w:rsidRPr="00F61C11">
              <w:rPr>
                <w:sz w:val="18"/>
                <w:szCs w:val="18"/>
              </w:rPr>
              <w:t>(20</w:t>
            </w:r>
            <w:r w:rsidRPr="00F61C11">
              <w:rPr>
                <w:sz w:val="18"/>
                <w:szCs w:val="18"/>
                <w:vertAlign w:val="superscript"/>
              </w:rPr>
              <w:sym w:font="Symbol" w:char="F0B0"/>
            </w:r>
            <w:r w:rsidRPr="00F61C11">
              <w:rPr>
                <w:sz w:val="18"/>
                <w:szCs w:val="18"/>
              </w:rPr>
              <w:t>C)</w:t>
            </w:r>
          </w:p>
        </w:tc>
        <w:tc>
          <w:tcPr>
            <w:tcW w:w="1440" w:type="dxa"/>
            <w:tcBorders>
              <w:top w:val="single" w:sz="4" w:space="0" w:color="FFFFFF" w:themeColor="background1"/>
            </w:tcBorders>
            <w:vAlign w:val="center"/>
          </w:tcPr>
          <w:p w14:paraId="0C012194" w14:textId="5FACB914" w:rsidR="00F61C11" w:rsidRPr="00F61C11" w:rsidRDefault="00F61C11" w:rsidP="002A1E7C">
            <w:pPr>
              <w:jc w:val="center"/>
              <w:rPr>
                <w:sz w:val="18"/>
                <w:szCs w:val="18"/>
              </w:rPr>
            </w:pPr>
            <w:r w:rsidRPr="00F61C11">
              <w:rPr>
                <w:sz w:val="18"/>
                <w:szCs w:val="18"/>
              </w:rPr>
              <w:t>$</w:t>
            </w:r>
            <w:r w:rsidR="00A17F87">
              <w:rPr>
                <w:sz w:val="18"/>
                <w:szCs w:val="18"/>
              </w:rPr>
              <w:t>7.35 - 39.5</w:t>
            </w:r>
            <w:r w:rsidR="00EE024C">
              <w:rPr>
                <w:sz w:val="18"/>
                <w:szCs w:val="18"/>
              </w:rPr>
              <w:t>0</w:t>
            </w:r>
          </w:p>
        </w:tc>
        <w:tc>
          <w:tcPr>
            <w:tcW w:w="1686" w:type="dxa"/>
            <w:tcBorders>
              <w:top w:val="single" w:sz="4" w:space="0" w:color="FFFFFF" w:themeColor="background1"/>
            </w:tcBorders>
            <w:vAlign w:val="center"/>
          </w:tcPr>
          <w:p w14:paraId="2271E762" w14:textId="77777777" w:rsidR="00F61C11" w:rsidRPr="00F61C11" w:rsidRDefault="00F61C11" w:rsidP="002A1E7C">
            <w:pPr>
              <w:jc w:val="center"/>
              <w:rPr>
                <w:sz w:val="18"/>
                <w:szCs w:val="18"/>
              </w:rPr>
            </w:pPr>
            <w:r w:rsidRPr="00F61C11">
              <w:rPr>
                <w:sz w:val="18"/>
                <w:szCs w:val="18"/>
              </w:rPr>
              <w:t>Health: 1</w:t>
            </w:r>
          </w:p>
          <w:p w14:paraId="06C6726C" w14:textId="77777777" w:rsidR="00F61C11" w:rsidRPr="00F61C11" w:rsidRDefault="00F61C11" w:rsidP="002A1E7C">
            <w:pPr>
              <w:jc w:val="center"/>
              <w:rPr>
                <w:sz w:val="18"/>
                <w:szCs w:val="18"/>
              </w:rPr>
            </w:pPr>
            <w:r w:rsidRPr="00F61C11">
              <w:rPr>
                <w:sz w:val="18"/>
                <w:szCs w:val="18"/>
              </w:rPr>
              <w:t>Flammability: 0</w:t>
            </w:r>
          </w:p>
          <w:p w14:paraId="06204838" w14:textId="77777777" w:rsidR="00F61C11" w:rsidRPr="00F61C11" w:rsidRDefault="00F61C11" w:rsidP="002A1E7C">
            <w:pPr>
              <w:jc w:val="center"/>
              <w:rPr>
                <w:sz w:val="18"/>
                <w:szCs w:val="18"/>
              </w:rPr>
            </w:pPr>
            <w:r w:rsidRPr="00F61C11">
              <w:rPr>
                <w:sz w:val="18"/>
                <w:szCs w:val="18"/>
              </w:rPr>
              <w:t>Instability: 1</w:t>
            </w:r>
          </w:p>
        </w:tc>
      </w:tr>
      <w:tr w:rsidR="00F61C11" w14:paraId="0894B705" w14:textId="77777777" w:rsidTr="00F61C11">
        <w:trPr>
          <w:trHeight w:val="216"/>
        </w:trPr>
        <w:tc>
          <w:tcPr>
            <w:tcW w:w="1980" w:type="dxa"/>
            <w:tcBorders>
              <w:bottom w:val="single" w:sz="4" w:space="0" w:color="FFFFFF" w:themeColor="background1"/>
            </w:tcBorders>
            <w:shd w:val="clear" w:color="auto" w:fill="auto"/>
            <w:vAlign w:val="center"/>
          </w:tcPr>
          <w:p w14:paraId="6F1C5454" w14:textId="77777777" w:rsidR="00F61C11" w:rsidRPr="00F61C11" w:rsidRDefault="00F61C11" w:rsidP="002A1E7C">
            <w:pPr>
              <w:jc w:val="center"/>
              <w:rPr>
                <w:sz w:val="8"/>
                <w:szCs w:val="8"/>
              </w:rPr>
            </w:pPr>
          </w:p>
        </w:tc>
        <w:tc>
          <w:tcPr>
            <w:tcW w:w="967" w:type="dxa"/>
            <w:tcBorders>
              <w:bottom w:val="single" w:sz="4" w:space="0" w:color="FFFFFF" w:themeColor="background1"/>
            </w:tcBorders>
            <w:vAlign w:val="center"/>
          </w:tcPr>
          <w:p w14:paraId="2CDC1EFE" w14:textId="77777777" w:rsidR="00F61C11" w:rsidRPr="00F61C11" w:rsidRDefault="00F61C11" w:rsidP="002A1E7C">
            <w:pPr>
              <w:jc w:val="center"/>
              <w:rPr>
                <w:sz w:val="8"/>
                <w:szCs w:val="8"/>
              </w:rPr>
            </w:pPr>
          </w:p>
        </w:tc>
        <w:tc>
          <w:tcPr>
            <w:tcW w:w="1290" w:type="dxa"/>
            <w:tcBorders>
              <w:bottom w:val="single" w:sz="4" w:space="0" w:color="FFFFFF" w:themeColor="background1"/>
            </w:tcBorders>
            <w:vAlign w:val="center"/>
          </w:tcPr>
          <w:p w14:paraId="139DAF26" w14:textId="77777777" w:rsidR="00F61C11" w:rsidRPr="00F61C11" w:rsidRDefault="00F61C11" w:rsidP="002A1E7C">
            <w:pPr>
              <w:jc w:val="center"/>
              <w:rPr>
                <w:sz w:val="8"/>
                <w:szCs w:val="8"/>
              </w:rPr>
            </w:pPr>
          </w:p>
        </w:tc>
        <w:tc>
          <w:tcPr>
            <w:tcW w:w="1350" w:type="dxa"/>
            <w:tcBorders>
              <w:bottom w:val="single" w:sz="4" w:space="0" w:color="FFFFFF" w:themeColor="background1"/>
            </w:tcBorders>
            <w:vAlign w:val="center"/>
          </w:tcPr>
          <w:p w14:paraId="2354F31D" w14:textId="77777777" w:rsidR="00F61C11" w:rsidRPr="00F61C11" w:rsidRDefault="00F61C11" w:rsidP="002A1E7C">
            <w:pPr>
              <w:jc w:val="center"/>
              <w:rPr>
                <w:sz w:val="8"/>
                <w:szCs w:val="8"/>
              </w:rPr>
            </w:pPr>
          </w:p>
        </w:tc>
        <w:tc>
          <w:tcPr>
            <w:tcW w:w="1440" w:type="dxa"/>
            <w:tcBorders>
              <w:bottom w:val="single" w:sz="4" w:space="0" w:color="FFFFFF" w:themeColor="background1"/>
            </w:tcBorders>
            <w:vAlign w:val="center"/>
          </w:tcPr>
          <w:p w14:paraId="0CFF5CC1" w14:textId="77777777" w:rsidR="00F61C11" w:rsidRPr="00F61C11" w:rsidRDefault="00F61C11" w:rsidP="002A1E7C">
            <w:pPr>
              <w:jc w:val="center"/>
              <w:rPr>
                <w:sz w:val="8"/>
                <w:szCs w:val="8"/>
              </w:rPr>
            </w:pPr>
          </w:p>
        </w:tc>
        <w:tc>
          <w:tcPr>
            <w:tcW w:w="1686" w:type="dxa"/>
            <w:tcBorders>
              <w:bottom w:val="single" w:sz="4" w:space="0" w:color="FFFFFF" w:themeColor="background1"/>
            </w:tcBorders>
            <w:vAlign w:val="center"/>
          </w:tcPr>
          <w:p w14:paraId="3B961AF3" w14:textId="77777777" w:rsidR="00F61C11" w:rsidRPr="00F61C11" w:rsidRDefault="00F61C11" w:rsidP="002A1E7C">
            <w:pPr>
              <w:jc w:val="center"/>
              <w:rPr>
                <w:sz w:val="8"/>
                <w:szCs w:val="8"/>
              </w:rPr>
            </w:pPr>
          </w:p>
        </w:tc>
      </w:tr>
      <w:tr w:rsidR="00F61C11" w14:paraId="70F4A707" w14:textId="77777777" w:rsidTr="00F61C11">
        <w:tc>
          <w:tcPr>
            <w:tcW w:w="1980" w:type="dxa"/>
            <w:tcBorders>
              <w:top w:val="single" w:sz="4" w:space="0" w:color="FFFFFF" w:themeColor="background1"/>
              <w:bottom w:val="single" w:sz="4" w:space="0" w:color="auto"/>
            </w:tcBorders>
            <w:shd w:val="clear" w:color="auto" w:fill="auto"/>
            <w:vAlign w:val="center"/>
          </w:tcPr>
          <w:p w14:paraId="4C3DED05" w14:textId="77777777" w:rsidR="00F61C11" w:rsidRPr="00F61C11" w:rsidRDefault="00F61C11" w:rsidP="002A1E7C">
            <w:pPr>
              <w:jc w:val="center"/>
              <w:rPr>
                <w:sz w:val="18"/>
                <w:szCs w:val="18"/>
              </w:rPr>
            </w:pPr>
            <w:r w:rsidRPr="00F61C11">
              <w:rPr>
                <w:sz w:val="18"/>
                <w:szCs w:val="18"/>
              </w:rPr>
              <w:t>Glycerol</w:t>
            </w:r>
          </w:p>
        </w:tc>
        <w:tc>
          <w:tcPr>
            <w:tcW w:w="967" w:type="dxa"/>
            <w:tcBorders>
              <w:top w:val="single" w:sz="4" w:space="0" w:color="FFFFFF" w:themeColor="background1"/>
              <w:bottom w:val="single" w:sz="4" w:space="0" w:color="auto"/>
            </w:tcBorders>
            <w:vAlign w:val="center"/>
          </w:tcPr>
          <w:p w14:paraId="7EBAA71D" w14:textId="77777777" w:rsidR="00F61C11" w:rsidRPr="00F61C11" w:rsidRDefault="00F61C11" w:rsidP="002A1E7C">
            <w:pPr>
              <w:jc w:val="center"/>
              <w:rPr>
                <w:sz w:val="18"/>
                <w:szCs w:val="18"/>
              </w:rPr>
            </w:pPr>
            <w:r w:rsidRPr="00F61C11">
              <w:rPr>
                <w:sz w:val="18"/>
                <w:szCs w:val="18"/>
              </w:rPr>
              <w:t>C</w:t>
            </w:r>
            <w:r w:rsidRPr="00F61C11">
              <w:rPr>
                <w:sz w:val="18"/>
                <w:szCs w:val="18"/>
                <w:vertAlign w:val="subscript"/>
              </w:rPr>
              <w:t>3</w:t>
            </w:r>
            <w:r w:rsidRPr="00F61C11">
              <w:rPr>
                <w:sz w:val="18"/>
                <w:szCs w:val="18"/>
              </w:rPr>
              <w:t>H</w:t>
            </w:r>
            <w:r w:rsidRPr="00F61C11">
              <w:rPr>
                <w:sz w:val="18"/>
                <w:szCs w:val="18"/>
                <w:vertAlign w:val="subscript"/>
              </w:rPr>
              <w:t>8</w:t>
            </w:r>
            <w:r w:rsidRPr="00F61C11">
              <w:rPr>
                <w:sz w:val="18"/>
                <w:szCs w:val="18"/>
              </w:rPr>
              <w:t>O</w:t>
            </w:r>
            <w:r w:rsidRPr="00F61C11">
              <w:rPr>
                <w:sz w:val="18"/>
                <w:szCs w:val="18"/>
                <w:vertAlign w:val="subscript"/>
              </w:rPr>
              <w:t>3</w:t>
            </w:r>
          </w:p>
        </w:tc>
        <w:tc>
          <w:tcPr>
            <w:tcW w:w="1290" w:type="dxa"/>
            <w:tcBorders>
              <w:top w:val="single" w:sz="4" w:space="0" w:color="FFFFFF" w:themeColor="background1"/>
              <w:bottom w:val="single" w:sz="4" w:space="0" w:color="auto"/>
            </w:tcBorders>
            <w:vAlign w:val="center"/>
          </w:tcPr>
          <w:p w14:paraId="59A9FC9E" w14:textId="77777777" w:rsidR="00F61C11" w:rsidRPr="00F61C11" w:rsidRDefault="00F61C11" w:rsidP="002A1E7C">
            <w:pPr>
              <w:jc w:val="center"/>
              <w:rPr>
                <w:sz w:val="18"/>
                <w:szCs w:val="18"/>
              </w:rPr>
            </w:pPr>
            <w:r w:rsidRPr="00F61C11">
              <w:rPr>
                <w:sz w:val="18"/>
                <w:szCs w:val="18"/>
              </w:rPr>
              <w:t>1261</w:t>
            </w:r>
          </w:p>
        </w:tc>
        <w:tc>
          <w:tcPr>
            <w:tcW w:w="1350" w:type="dxa"/>
            <w:tcBorders>
              <w:top w:val="single" w:sz="4" w:space="0" w:color="FFFFFF" w:themeColor="background1"/>
              <w:bottom w:val="single" w:sz="4" w:space="0" w:color="auto"/>
            </w:tcBorders>
            <w:vAlign w:val="center"/>
          </w:tcPr>
          <w:p w14:paraId="694D279E" w14:textId="77777777" w:rsidR="00F61C11" w:rsidRPr="00F61C11" w:rsidRDefault="00F61C11" w:rsidP="002A1E7C">
            <w:pPr>
              <w:jc w:val="center"/>
              <w:rPr>
                <w:sz w:val="18"/>
                <w:szCs w:val="18"/>
              </w:rPr>
            </w:pPr>
            <w:r w:rsidRPr="00F61C11">
              <w:rPr>
                <w:sz w:val="18"/>
                <w:szCs w:val="18"/>
              </w:rPr>
              <w:t>Miscible</w:t>
            </w:r>
          </w:p>
        </w:tc>
        <w:tc>
          <w:tcPr>
            <w:tcW w:w="1440" w:type="dxa"/>
            <w:tcBorders>
              <w:top w:val="single" w:sz="4" w:space="0" w:color="FFFFFF" w:themeColor="background1"/>
              <w:bottom w:val="single" w:sz="4" w:space="0" w:color="auto"/>
            </w:tcBorders>
            <w:vAlign w:val="center"/>
          </w:tcPr>
          <w:p w14:paraId="4FF5B9A8" w14:textId="79D16DDC" w:rsidR="00F61C11" w:rsidRPr="00F61C11" w:rsidRDefault="00F61C11" w:rsidP="002A1E7C">
            <w:pPr>
              <w:jc w:val="center"/>
              <w:rPr>
                <w:sz w:val="18"/>
                <w:szCs w:val="18"/>
              </w:rPr>
            </w:pPr>
            <w:r w:rsidRPr="00F61C11">
              <w:rPr>
                <w:sz w:val="18"/>
                <w:szCs w:val="18"/>
              </w:rPr>
              <w:t>$</w:t>
            </w:r>
            <w:r w:rsidR="00A17F87">
              <w:rPr>
                <w:sz w:val="18"/>
                <w:szCs w:val="18"/>
              </w:rPr>
              <w:t>10.29 - 92.86</w:t>
            </w:r>
          </w:p>
        </w:tc>
        <w:tc>
          <w:tcPr>
            <w:tcW w:w="1686" w:type="dxa"/>
            <w:tcBorders>
              <w:top w:val="single" w:sz="4" w:space="0" w:color="FFFFFF" w:themeColor="background1"/>
              <w:bottom w:val="single" w:sz="4" w:space="0" w:color="auto"/>
            </w:tcBorders>
            <w:vAlign w:val="center"/>
          </w:tcPr>
          <w:p w14:paraId="20E03308" w14:textId="77777777" w:rsidR="00F61C11" w:rsidRPr="00F61C11" w:rsidRDefault="00F61C11" w:rsidP="002A1E7C">
            <w:pPr>
              <w:jc w:val="center"/>
              <w:rPr>
                <w:sz w:val="18"/>
                <w:szCs w:val="18"/>
              </w:rPr>
            </w:pPr>
            <w:r w:rsidRPr="00F61C11">
              <w:rPr>
                <w:sz w:val="18"/>
                <w:szCs w:val="18"/>
              </w:rPr>
              <w:t>Health: 1</w:t>
            </w:r>
          </w:p>
          <w:p w14:paraId="54127AF1" w14:textId="77777777" w:rsidR="00F61C11" w:rsidRPr="00F61C11" w:rsidRDefault="00F61C11" w:rsidP="002A1E7C">
            <w:pPr>
              <w:jc w:val="center"/>
              <w:rPr>
                <w:sz w:val="18"/>
                <w:szCs w:val="18"/>
              </w:rPr>
            </w:pPr>
            <w:r w:rsidRPr="00F61C11">
              <w:rPr>
                <w:sz w:val="18"/>
                <w:szCs w:val="18"/>
              </w:rPr>
              <w:t>Flammability: 1</w:t>
            </w:r>
          </w:p>
          <w:p w14:paraId="640362DD" w14:textId="77777777" w:rsidR="00F61C11" w:rsidRPr="00F61C11" w:rsidRDefault="00F61C11" w:rsidP="002A1E7C">
            <w:pPr>
              <w:jc w:val="center"/>
              <w:rPr>
                <w:sz w:val="18"/>
                <w:szCs w:val="18"/>
              </w:rPr>
            </w:pPr>
            <w:r w:rsidRPr="00F61C11">
              <w:rPr>
                <w:sz w:val="18"/>
                <w:szCs w:val="18"/>
              </w:rPr>
              <w:t>Instability: 1</w:t>
            </w:r>
          </w:p>
        </w:tc>
      </w:tr>
    </w:tbl>
    <w:p w14:paraId="71C53A0D" w14:textId="2B168156" w:rsidR="004A08CC" w:rsidRPr="004A08CC" w:rsidRDefault="004A08CC" w:rsidP="00E27CBC">
      <w:pPr>
        <w:rPr>
          <w:rFonts w:cs="Arial"/>
          <w:sz w:val="18"/>
          <w:szCs w:val="18"/>
        </w:rPr>
      </w:pPr>
      <w:r>
        <w:rPr>
          <w:rFonts w:cs="Arial"/>
          <w:sz w:val="18"/>
          <w:szCs w:val="18"/>
          <w:vertAlign w:val="superscript"/>
        </w:rPr>
        <w:lastRenderedPageBreak/>
        <w:t xml:space="preserve">† </w:t>
      </w:r>
      <w:r>
        <w:rPr>
          <w:rFonts w:cs="Arial"/>
          <w:sz w:val="18"/>
          <w:szCs w:val="18"/>
        </w:rPr>
        <w:t xml:space="preserve">Prices ranges based on Fischer Scientific Alfa </w:t>
      </w:r>
      <w:proofErr w:type="spellStart"/>
      <w:r>
        <w:rPr>
          <w:rFonts w:cs="Arial"/>
          <w:sz w:val="18"/>
          <w:szCs w:val="18"/>
        </w:rPr>
        <w:t>Aesar</w:t>
      </w:r>
      <w:proofErr w:type="spellEnd"/>
      <w:r>
        <w:rPr>
          <w:rFonts w:cs="Arial"/>
          <w:sz w:val="18"/>
          <w:szCs w:val="18"/>
        </w:rPr>
        <w:t xml:space="preserve"> 99+%, Sigma-Aldrich ACS reagent grade, and Carolina Biological laboratory grade. Xylitol is not available from Carolina Biological and based on other two prices only.</w:t>
      </w:r>
    </w:p>
    <w:p w14:paraId="34158CE0" w14:textId="1F935233" w:rsidR="00F61C11" w:rsidRPr="00F61C11" w:rsidRDefault="004A08CC" w:rsidP="00E27CBC">
      <w:pPr>
        <w:rPr>
          <w:rStyle w:val="CommentReference"/>
          <w:rFonts w:eastAsia="Times New Roman" w:cs="Arial"/>
        </w:rPr>
      </w:pPr>
      <w:r>
        <w:rPr>
          <w:rFonts w:cs="Arial"/>
          <w:sz w:val="18"/>
          <w:szCs w:val="18"/>
          <w:vertAlign w:val="superscript"/>
        </w:rPr>
        <w:t>‡</w:t>
      </w:r>
      <w:r w:rsidR="00F61C11" w:rsidRPr="00F61C11">
        <w:rPr>
          <w:rFonts w:cs="Arial"/>
          <w:noProof/>
          <w:sz w:val="18"/>
          <w:szCs w:val="18"/>
        </w:rPr>
        <w:t xml:space="preserve"> As defined by NFPA 704 on chemical SDS; 0 – least hazardous and 4 – most hazardous</w:t>
      </w:r>
    </w:p>
    <w:p w14:paraId="50D911C7" w14:textId="695C5C5C" w:rsidR="00F96D27" w:rsidRDefault="00F96D27" w:rsidP="00E27CBC">
      <w:pPr>
        <w:rPr>
          <w:rFonts w:cs="Arial"/>
          <w:szCs w:val="24"/>
        </w:rPr>
      </w:pPr>
    </w:p>
    <w:p w14:paraId="328BDA68" w14:textId="77777777" w:rsidR="006D64FD" w:rsidRPr="00915D7D" w:rsidRDefault="00EC4A9F" w:rsidP="006E4F0B">
      <w:pPr>
        <w:ind w:firstLine="708"/>
        <w:rPr>
          <w:rFonts w:cs="Arial"/>
          <w:szCs w:val="24"/>
        </w:rPr>
      </w:pPr>
      <w:r>
        <w:rPr>
          <w:rFonts w:cs="Arial"/>
          <w:szCs w:val="24"/>
        </w:rPr>
        <w:t xml:space="preserve">The </w:t>
      </w:r>
      <w:r w:rsidR="00B84847">
        <w:rPr>
          <w:rFonts w:cs="Arial"/>
          <w:szCs w:val="24"/>
        </w:rPr>
        <w:t>index of refraction</w:t>
      </w:r>
      <w:r w:rsidR="00FB20EE">
        <w:rPr>
          <w:rFonts w:cs="Arial"/>
          <w:szCs w:val="24"/>
        </w:rPr>
        <w:t>, den</w:t>
      </w:r>
      <w:r>
        <w:rPr>
          <w:rFonts w:cs="Arial"/>
          <w:szCs w:val="24"/>
        </w:rPr>
        <w:t>sity and viscosity of each aqueous solutions of each additive</w:t>
      </w:r>
      <w:r w:rsidR="00FB20EE">
        <w:rPr>
          <w:rFonts w:cs="Arial"/>
          <w:szCs w:val="24"/>
        </w:rPr>
        <w:t xml:space="preserve"> are shown in Figure </w:t>
      </w:r>
      <w:r w:rsidR="005C5404">
        <w:rPr>
          <w:rFonts w:cs="Arial"/>
          <w:szCs w:val="24"/>
        </w:rPr>
        <w:t>1a, 1b</w:t>
      </w:r>
      <w:r w:rsidR="00DD7F64">
        <w:rPr>
          <w:rFonts w:cs="Arial"/>
          <w:szCs w:val="24"/>
        </w:rPr>
        <w:t>,</w:t>
      </w:r>
      <w:r w:rsidR="005C5404">
        <w:rPr>
          <w:rFonts w:cs="Arial"/>
          <w:szCs w:val="24"/>
        </w:rPr>
        <w:t xml:space="preserve"> and 1c</w:t>
      </w:r>
      <w:r w:rsidR="00DD7F64">
        <w:rPr>
          <w:rFonts w:cs="Arial"/>
          <w:szCs w:val="24"/>
        </w:rPr>
        <w:t>,</w:t>
      </w:r>
      <w:r w:rsidR="005C5404">
        <w:rPr>
          <w:rFonts w:cs="Arial"/>
          <w:szCs w:val="24"/>
        </w:rPr>
        <w:t xml:space="preserve"> respectively</w:t>
      </w:r>
      <w:r w:rsidR="00FB20EE">
        <w:rPr>
          <w:rFonts w:cs="Arial"/>
          <w:szCs w:val="24"/>
        </w:rPr>
        <w:t>.</w:t>
      </w:r>
      <w:r w:rsidR="005C5404">
        <w:rPr>
          <w:rFonts w:cs="Arial"/>
          <w:szCs w:val="24"/>
        </w:rPr>
        <w:t xml:space="preserve"> Figure 1a shows that </w:t>
      </w:r>
      <w:r w:rsidR="002E60BD">
        <w:rPr>
          <w:rFonts w:cs="Arial"/>
          <w:szCs w:val="24"/>
        </w:rPr>
        <w:t>by weight percent</w:t>
      </w:r>
      <w:r w:rsidR="00140140">
        <w:rPr>
          <w:rFonts w:cs="Arial"/>
          <w:szCs w:val="24"/>
        </w:rPr>
        <w:t xml:space="preserve"> (</w:t>
      </w:r>
      <w:proofErr w:type="spellStart"/>
      <w:r w:rsidR="00140140">
        <w:rPr>
          <w:rFonts w:cs="Arial"/>
          <w:szCs w:val="24"/>
        </w:rPr>
        <w:t>wt</w:t>
      </w:r>
      <w:proofErr w:type="spellEnd"/>
      <w:r w:rsidR="00140140">
        <w:rPr>
          <w:rFonts w:cs="Arial"/>
          <w:szCs w:val="24"/>
        </w:rPr>
        <w:t>%)</w:t>
      </w:r>
      <w:r w:rsidR="002E60BD">
        <w:rPr>
          <w:rFonts w:cs="Arial"/>
          <w:szCs w:val="24"/>
        </w:rPr>
        <w:t xml:space="preserve">, </w:t>
      </w:r>
      <w:r w:rsidR="005C5404">
        <w:rPr>
          <w:rFonts w:cs="Arial"/>
          <w:szCs w:val="24"/>
        </w:rPr>
        <w:t>both xylitol an</w:t>
      </w:r>
      <w:r w:rsidR="00E17216">
        <w:rPr>
          <w:rFonts w:cs="Arial"/>
          <w:szCs w:val="24"/>
        </w:rPr>
        <w:t>d urea were</w:t>
      </w:r>
      <w:r>
        <w:rPr>
          <w:rFonts w:cs="Arial"/>
          <w:szCs w:val="24"/>
        </w:rPr>
        <w:t xml:space="preserve"> about as effective as </w:t>
      </w:r>
      <w:proofErr w:type="spellStart"/>
      <w:r>
        <w:rPr>
          <w:rFonts w:cs="Arial"/>
          <w:szCs w:val="24"/>
        </w:rPr>
        <w:t>NaI</w:t>
      </w:r>
      <w:proofErr w:type="spellEnd"/>
      <w:r>
        <w:rPr>
          <w:rFonts w:cs="Arial"/>
          <w:szCs w:val="24"/>
        </w:rPr>
        <w:t xml:space="preserve"> at</w:t>
      </w:r>
      <w:r w:rsidR="005C5404">
        <w:rPr>
          <w:rFonts w:cs="Arial"/>
          <w:szCs w:val="24"/>
        </w:rPr>
        <w:t xml:space="preserve"> increasing the index of refraction of water</w:t>
      </w:r>
      <w:r w:rsidR="00E17216">
        <w:rPr>
          <w:rFonts w:cs="Arial"/>
          <w:szCs w:val="24"/>
        </w:rPr>
        <w:t xml:space="preserve">. </w:t>
      </w:r>
      <w:proofErr w:type="spellStart"/>
      <w:r w:rsidR="00E17216">
        <w:rPr>
          <w:rFonts w:cs="Arial"/>
          <w:szCs w:val="24"/>
        </w:rPr>
        <w:t>NaCl</w:t>
      </w:r>
      <w:proofErr w:type="spellEnd"/>
      <w:r w:rsidR="00E17216">
        <w:rPr>
          <w:rFonts w:cs="Arial"/>
          <w:szCs w:val="24"/>
        </w:rPr>
        <w:t xml:space="preserve"> wa</w:t>
      </w:r>
      <w:r w:rsidR="00DD7F64">
        <w:rPr>
          <w:rFonts w:cs="Arial"/>
          <w:szCs w:val="24"/>
        </w:rPr>
        <w:t>s most</w:t>
      </w:r>
      <w:r w:rsidR="005C5404">
        <w:rPr>
          <w:rFonts w:cs="Arial"/>
          <w:szCs w:val="24"/>
        </w:rPr>
        <w:t xml:space="preserve"> effective, but the solution </w:t>
      </w:r>
      <w:r w:rsidR="00DD7F64">
        <w:rPr>
          <w:rFonts w:cs="Arial"/>
          <w:szCs w:val="24"/>
        </w:rPr>
        <w:t xml:space="preserve">quickly lost clarity and </w:t>
      </w:r>
      <w:r w:rsidR="005C5404">
        <w:rPr>
          <w:rFonts w:cs="Arial"/>
          <w:szCs w:val="24"/>
        </w:rPr>
        <w:t xml:space="preserve">reached saturation at an index of refraction </w:t>
      </w:r>
      <w:r w:rsidR="000F4B55">
        <w:rPr>
          <w:rFonts w:cs="Arial"/>
          <w:szCs w:val="24"/>
        </w:rPr>
        <w:t xml:space="preserve">of </w:t>
      </w:r>
      <w:r w:rsidR="005C5404">
        <w:rPr>
          <w:rFonts w:cs="Arial"/>
          <w:szCs w:val="24"/>
        </w:rPr>
        <w:t xml:space="preserve">1.3793. </w:t>
      </w:r>
      <w:r w:rsidR="0064065D">
        <w:rPr>
          <w:rFonts w:cs="Arial"/>
          <w:szCs w:val="24"/>
        </w:rPr>
        <w:t xml:space="preserve">Figure </w:t>
      </w:r>
      <w:r>
        <w:rPr>
          <w:rFonts w:cs="Arial"/>
          <w:szCs w:val="24"/>
        </w:rPr>
        <w:t>1b s</w:t>
      </w:r>
      <w:r w:rsidR="002E60BD">
        <w:rPr>
          <w:rFonts w:cs="Arial"/>
          <w:szCs w:val="24"/>
        </w:rPr>
        <w:t>hows</w:t>
      </w:r>
      <w:r w:rsidR="0064065D">
        <w:rPr>
          <w:rFonts w:cs="Arial"/>
          <w:szCs w:val="24"/>
        </w:rPr>
        <w:t xml:space="preserve"> that the increase in fluid d</w:t>
      </w:r>
      <w:r>
        <w:rPr>
          <w:rFonts w:cs="Arial"/>
          <w:szCs w:val="24"/>
        </w:rPr>
        <w:t xml:space="preserve">ensity as a function of </w:t>
      </w:r>
      <w:r w:rsidR="002E60BD">
        <w:rPr>
          <w:rFonts w:cs="Arial"/>
          <w:szCs w:val="24"/>
        </w:rPr>
        <w:t xml:space="preserve">additive </w:t>
      </w:r>
      <w:r>
        <w:rPr>
          <w:rFonts w:cs="Arial"/>
          <w:szCs w:val="24"/>
        </w:rPr>
        <w:t>weight percent</w:t>
      </w:r>
      <w:r w:rsidR="0064065D">
        <w:rPr>
          <w:rFonts w:cs="Arial"/>
          <w:szCs w:val="24"/>
        </w:rPr>
        <w:t xml:space="preserve"> was </w:t>
      </w:r>
      <w:r w:rsidR="00DD7F64">
        <w:rPr>
          <w:rFonts w:cs="Arial"/>
          <w:szCs w:val="24"/>
        </w:rPr>
        <w:t>about five times</w:t>
      </w:r>
      <w:r w:rsidR="0064065D">
        <w:rPr>
          <w:rFonts w:cs="Arial"/>
          <w:szCs w:val="24"/>
        </w:rPr>
        <w:t xml:space="preserve"> less for xylitol and urea than </w:t>
      </w:r>
      <w:proofErr w:type="spellStart"/>
      <w:r w:rsidR="0064065D">
        <w:rPr>
          <w:rFonts w:cs="Arial"/>
          <w:szCs w:val="24"/>
        </w:rPr>
        <w:t>NaI</w:t>
      </w:r>
      <w:proofErr w:type="spellEnd"/>
      <w:r w:rsidR="0064065D">
        <w:rPr>
          <w:rFonts w:cs="Arial"/>
          <w:szCs w:val="24"/>
        </w:rPr>
        <w:t xml:space="preserve">. </w:t>
      </w:r>
      <w:r w:rsidR="002E60BD">
        <w:rPr>
          <w:rFonts w:cs="Arial"/>
          <w:szCs w:val="24"/>
        </w:rPr>
        <w:t>Specifically, a</w:t>
      </w:r>
      <w:r w:rsidR="00DD7F64">
        <w:rPr>
          <w:rFonts w:cs="Arial"/>
          <w:szCs w:val="24"/>
        </w:rPr>
        <w:t>n aqueous</w:t>
      </w:r>
      <w:r w:rsidR="00CF467B">
        <w:rPr>
          <w:rFonts w:cs="Arial"/>
          <w:szCs w:val="24"/>
        </w:rPr>
        <w:t xml:space="preserve"> </w:t>
      </w:r>
      <w:r w:rsidR="000F4B55">
        <w:rPr>
          <w:rFonts w:cs="Arial"/>
          <w:szCs w:val="24"/>
        </w:rPr>
        <w:t>50.21</w:t>
      </w:r>
      <w:r>
        <w:rPr>
          <w:rFonts w:cs="Arial"/>
          <w:szCs w:val="24"/>
        </w:rPr>
        <w:t xml:space="preserve"> </w:t>
      </w:r>
      <w:proofErr w:type="spellStart"/>
      <w:r>
        <w:rPr>
          <w:rFonts w:cs="Arial"/>
          <w:szCs w:val="24"/>
        </w:rPr>
        <w:t>wt</w:t>
      </w:r>
      <w:proofErr w:type="spellEnd"/>
      <w:r>
        <w:rPr>
          <w:rFonts w:cs="Arial"/>
          <w:szCs w:val="24"/>
        </w:rPr>
        <w:t>%</w:t>
      </w:r>
      <w:r w:rsidR="0064065D">
        <w:rPr>
          <w:rFonts w:cs="Arial"/>
          <w:szCs w:val="24"/>
        </w:rPr>
        <w:t xml:space="preserve"> </w:t>
      </w:r>
      <w:proofErr w:type="spellStart"/>
      <w:r w:rsidR="002E60BD">
        <w:rPr>
          <w:rFonts w:cs="Arial"/>
          <w:szCs w:val="24"/>
        </w:rPr>
        <w:t>NaI</w:t>
      </w:r>
      <w:proofErr w:type="spellEnd"/>
      <w:r w:rsidR="002E60BD">
        <w:rPr>
          <w:rFonts w:cs="Arial"/>
          <w:szCs w:val="24"/>
        </w:rPr>
        <w:t xml:space="preserve"> solution </w:t>
      </w:r>
      <w:r w:rsidR="00DD7F64">
        <w:rPr>
          <w:rFonts w:cs="Arial"/>
          <w:szCs w:val="24"/>
        </w:rPr>
        <w:t>had</w:t>
      </w:r>
      <w:r w:rsidR="0064065D">
        <w:rPr>
          <w:rFonts w:cs="Arial"/>
          <w:szCs w:val="24"/>
        </w:rPr>
        <w:t xml:space="preserve"> a density of </w:t>
      </w:r>
      <w:r w:rsidR="00CF467B">
        <w:rPr>
          <w:rFonts w:cs="Arial"/>
          <w:szCs w:val="24"/>
        </w:rPr>
        <w:t>1416</w:t>
      </w:r>
      <w:r w:rsidR="0064065D">
        <w:rPr>
          <w:rFonts w:cs="Arial"/>
          <w:szCs w:val="24"/>
        </w:rPr>
        <w:t xml:space="preserve"> kg/m</w:t>
      </w:r>
      <w:r w:rsidR="0064065D">
        <w:rPr>
          <w:rFonts w:cs="Arial"/>
          <w:szCs w:val="24"/>
          <w:vertAlign w:val="superscript"/>
        </w:rPr>
        <w:t>3</w:t>
      </w:r>
      <w:r>
        <w:rPr>
          <w:rFonts w:cs="Arial"/>
          <w:szCs w:val="24"/>
        </w:rPr>
        <w:t>, while at similar weight percent</w:t>
      </w:r>
      <w:r w:rsidR="00CF467B">
        <w:rPr>
          <w:rFonts w:cs="Arial"/>
          <w:szCs w:val="24"/>
        </w:rPr>
        <w:t xml:space="preserve">, </w:t>
      </w:r>
      <w:r w:rsidR="00DD7F64">
        <w:rPr>
          <w:rFonts w:cs="Arial"/>
          <w:szCs w:val="24"/>
        </w:rPr>
        <w:t xml:space="preserve">aqueous </w:t>
      </w:r>
      <w:r w:rsidR="0064065D">
        <w:rPr>
          <w:rFonts w:cs="Arial"/>
          <w:szCs w:val="24"/>
        </w:rPr>
        <w:t>urea</w:t>
      </w:r>
      <w:r w:rsidR="00CF467B">
        <w:rPr>
          <w:rFonts w:cs="Arial"/>
          <w:szCs w:val="24"/>
        </w:rPr>
        <w:t xml:space="preserve"> (</w:t>
      </w:r>
      <w:r w:rsidR="000F4B55">
        <w:rPr>
          <w:rFonts w:cs="Arial"/>
          <w:szCs w:val="24"/>
        </w:rPr>
        <w:t>49.83</w:t>
      </w:r>
      <w:r>
        <w:rPr>
          <w:rFonts w:cs="Arial"/>
          <w:szCs w:val="24"/>
        </w:rPr>
        <w:t xml:space="preserve"> </w:t>
      </w:r>
      <w:proofErr w:type="spellStart"/>
      <w:r>
        <w:rPr>
          <w:rFonts w:cs="Arial"/>
          <w:szCs w:val="24"/>
        </w:rPr>
        <w:t>wt</w:t>
      </w:r>
      <w:proofErr w:type="spellEnd"/>
      <w:r>
        <w:rPr>
          <w:rFonts w:cs="Arial"/>
          <w:szCs w:val="24"/>
        </w:rPr>
        <w:t>%</w:t>
      </w:r>
      <w:r w:rsidR="00CF467B">
        <w:rPr>
          <w:rFonts w:cs="Arial"/>
          <w:szCs w:val="24"/>
        </w:rPr>
        <w:t>)</w:t>
      </w:r>
      <w:r w:rsidR="00DD7F64">
        <w:rPr>
          <w:rFonts w:cs="Arial"/>
          <w:szCs w:val="24"/>
        </w:rPr>
        <w:t xml:space="preserve"> had a density of</w:t>
      </w:r>
      <w:r w:rsidR="0064065D">
        <w:rPr>
          <w:rFonts w:cs="Arial"/>
          <w:szCs w:val="24"/>
        </w:rPr>
        <w:t xml:space="preserve"> 1167 kg/m</w:t>
      </w:r>
      <w:r w:rsidR="0064065D">
        <w:rPr>
          <w:rFonts w:cs="Arial"/>
          <w:szCs w:val="24"/>
          <w:vertAlign w:val="superscript"/>
        </w:rPr>
        <w:t>3</w:t>
      </w:r>
      <w:r w:rsidR="0064065D">
        <w:rPr>
          <w:rFonts w:cs="Arial"/>
          <w:szCs w:val="24"/>
        </w:rPr>
        <w:t xml:space="preserve"> and </w:t>
      </w:r>
      <w:r w:rsidR="00DD7F64">
        <w:rPr>
          <w:rFonts w:cs="Arial"/>
          <w:szCs w:val="24"/>
        </w:rPr>
        <w:t xml:space="preserve">aqueous </w:t>
      </w:r>
      <w:r w:rsidR="00CF467B">
        <w:rPr>
          <w:rFonts w:cs="Arial"/>
          <w:szCs w:val="24"/>
        </w:rPr>
        <w:t>x</w:t>
      </w:r>
      <w:r w:rsidR="0098649D">
        <w:rPr>
          <w:rFonts w:cs="Arial"/>
          <w:szCs w:val="24"/>
        </w:rPr>
        <w:t>ylit</w:t>
      </w:r>
      <w:r w:rsidR="00CF467B">
        <w:rPr>
          <w:rFonts w:cs="Arial"/>
          <w:szCs w:val="24"/>
        </w:rPr>
        <w:t>ol (49.94</w:t>
      </w:r>
      <w:r>
        <w:rPr>
          <w:rFonts w:cs="Arial"/>
          <w:szCs w:val="24"/>
        </w:rPr>
        <w:t xml:space="preserve"> </w:t>
      </w:r>
      <w:proofErr w:type="spellStart"/>
      <w:r>
        <w:rPr>
          <w:rFonts w:cs="Arial"/>
          <w:szCs w:val="24"/>
        </w:rPr>
        <w:t>wt</w:t>
      </w:r>
      <w:proofErr w:type="spellEnd"/>
      <w:r>
        <w:rPr>
          <w:rFonts w:cs="Arial"/>
          <w:szCs w:val="24"/>
        </w:rPr>
        <w:t>%</w:t>
      </w:r>
      <w:r w:rsidR="00CF467B">
        <w:rPr>
          <w:rFonts w:cs="Arial"/>
          <w:szCs w:val="24"/>
        </w:rPr>
        <w:t xml:space="preserve">) </w:t>
      </w:r>
      <w:r w:rsidR="00DD7F64">
        <w:rPr>
          <w:rFonts w:cs="Arial"/>
          <w:szCs w:val="24"/>
        </w:rPr>
        <w:t>had a density of</w:t>
      </w:r>
      <w:r w:rsidR="00CF467B">
        <w:rPr>
          <w:rFonts w:cs="Arial"/>
          <w:szCs w:val="24"/>
        </w:rPr>
        <w:t xml:space="preserve"> 1190 kg/m</w:t>
      </w:r>
      <w:r w:rsidR="00CF467B">
        <w:rPr>
          <w:rFonts w:cs="Arial"/>
          <w:szCs w:val="24"/>
          <w:vertAlign w:val="superscript"/>
        </w:rPr>
        <w:t>3</w:t>
      </w:r>
      <w:r w:rsidR="00CF467B">
        <w:rPr>
          <w:rFonts w:cs="Arial"/>
          <w:szCs w:val="24"/>
        </w:rPr>
        <w:t xml:space="preserve">. </w:t>
      </w:r>
      <w:r w:rsidR="00E17216">
        <w:rPr>
          <w:rFonts w:cs="Arial"/>
          <w:szCs w:val="24"/>
        </w:rPr>
        <w:t>Figure 1c indicates</w:t>
      </w:r>
      <w:r w:rsidR="0098649D">
        <w:rPr>
          <w:rFonts w:cs="Arial"/>
          <w:szCs w:val="24"/>
        </w:rPr>
        <w:t xml:space="preserve"> tha</w:t>
      </w:r>
      <w:r w:rsidR="00EC7BDE">
        <w:rPr>
          <w:rFonts w:cs="Arial"/>
          <w:szCs w:val="24"/>
        </w:rPr>
        <w:t xml:space="preserve">t </w:t>
      </w:r>
      <w:r w:rsidR="00E17216">
        <w:rPr>
          <w:rFonts w:cs="Arial"/>
          <w:szCs w:val="24"/>
        </w:rPr>
        <w:t>xylitol caused</w:t>
      </w:r>
      <w:r w:rsidR="0098649D">
        <w:rPr>
          <w:rFonts w:cs="Arial"/>
          <w:szCs w:val="24"/>
        </w:rPr>
        <w:t xml:space="preserve"> a larger increase in viscosity of the fluid than both urea and </w:t>
      </w:r>
      <w:proofErr w:type="spellStart"/>
      <w:r w:rsidR="0098649D">
        <w:rPr>
          <w:rFonts w:cs="Arial"/>
          <w:szCs w:val="24"/>
        </w:rPr>
        <w:t>NaI</w:t>
      </w:r>
      <w:proofErr w:type="spellEnd"/>
      <w:r>
        <w:rPr>
          <w:rFonts w:cs="Arial"/>
          <w:szCs w:val="24"/>
        </w:rPr>
        <w:t xml:space="preserve">. A 49.94 </w:t>
      </w:r>
      <w:proofErr w:type="spellStart"/>
      <w:r>
        <w:rPr>
          <w:rFonts w:cs="Arial"/>
          <w:szCs w:val="24"/>
        </w:rPr>
        <w:t>wt</w:t>
      </w:r>
      <w:proofErr w:type="spellEnd"/>
      <w:r>
        <w:rPr>
          <w:rFonts w:cs="Arial"/>
          <w:szCs w:val="24"/>
        </w:rPr>
        <w:t>%</w:t>
      </w:r>
      <w:r w:rsidR="00926427">
        <w:rPr>
          <w:rFonts w:cs="Arial"/>
          <w:szCs w:val="24"/>
        </w:rPr>
        <w:t xml:space="preserve"> solution of xylitol</w:t>
      </w:r>
      <w:r>
        <w:rPr>
          <w:rFonts w:cs="Arial"/>
          <w:szCs w:val="24"/>
        </w:rPr>
        <w:t xml:space="preserve"> had</w:t>
      </w:r>
      <w:r w:rsidR="00DD7F64">
        <w:rPr>
          <w:rFonts w:cs="Arial"/>
          <w:szCs w:val="24"/>
        </w:rPr>
        <w:t xml:space="preserve"> a viscosity of 8.493E-3 Pa-</w:t>
      </w:r>
      <w:r>
        <w:rPr>
          <w:rFonts w:cs="Arial"/>
          <w:szCs w:val="24"/>
        </w:rPr>
        <w:t>s, while similar weight percent</w:t>
      </w:r>
      <w:r w:rsidR="00926427">
        <w:rPr>
          <w:rFonts w:cs="Arial"/>
          <w:szCs w:val="24"/>
        </w:rPr>
        <w:t xml:space="preserve"> solutions of urea (</w:t>
      </w:r>
      <w:r w:rsidR="000F4B55">
        <w:rPr>
          <w:rFonts w:cs="Arial"/>
          <w:szCs w:val="24"/>
        </w:rPr>
        <w:t>49.83</w:t>
      </w:r>
      <w:r>
        <w:rPr>
          <w:rFonts w:cs="Arial"/>
          <w:szCs w:val="24"/>
        </w:rPr>
        <w:t xml:space="preserve"> </w:t>
      </w:r>
      <w:proofErr w:type="spellStart"/>
      <w:r>
        <w:rPr>
          <w:rFonts w:cs="Arial"/>
          <w:szCs w:val="24"/>
        </w:rPr>
        <w:t>wt</w:t>
      </w:r>
      <w:proofErr w:type="spellEnd"/>
      <w:r>
        <w:rPr>
          <w:rFonts w:cs="Arial"/>
          <w:szCs w:val="24"/>
        </w:rPr>
        <w:t>%</w:t>
      </w:r>
      <w:r w:rsidR="00926427">
        <w:rPr>
          <w:rFonts w:cs="Arial"/>
          <w:szCs w:val="24"/>
        </w:rPr>
        <w:t xml:space="preserve">) and </w:t>
      </w:r>
      <w:proofErr w:type="spellStart"/>
      <w:r w:rsidR="00926427">
        <w:rPr>
          <w:rFonts w:cs="Arial"/>
          <w:szCs w:val="24"/>
        </w:rPr>
        <w:t>NaI</w:t>
      </w:r>
      <w:proofErr w:type="spellEnd"/>
      <w:r w:rsidR="000F4B55">
        <w:rPr>
          <w:rFonts w:cs="Arial"/>
          <w:szCs w:val="24"/>
        </w:rPr>
        <w:t xml:space="preserve"> (50.21</w:t>
      </w:r>
      <w:r>
        <w:rPr>
          <w:rFonts w:cs="Arial"/>
          <w:szCs w:val="24"/>
        </w:rPr>
        <w:t xml:space="preserve"> </w:t>
      </w:r>
      <w:proofErr w:type="spellStart"/>
      <w:r>
        <w:rPr>
          <w:rFonts w:cs="Arial"/>
          <w:szCs w:val="24"/>
        </w:rPr>
        <w:t>wt</w:t>
      </w:r>
      <w:proofErr w:type="spellEnd"/>
      <w:r>
        <w:rPr>
          <w:rFonts w:cs="Arial"/>
          <w:szCs w:val="24"/>
        </w:rPr>
        <w:t>%) had</w:t>
      </w:r>
      <w:r w:rsidR="00926427">
        <w:rPr>
          <w:rFonts w:cs="Arial"/>
          <w:szCs w:val="24"/>
        </w:rPr>
        <w:t xml:space="preserve"> </w:t>
      </w:r>
      <w:r>
        <w:rPr>
          <w:rFonts w:cs="Arial"/>
          <w:szCs w:val="24"/>
        </w:rPr>
        <w:t xml:space="preserve">viscosities of </w:t>
      </w:r>
      <w:r w:rsidR="00DD7F64">
        <w:rPr>
          <w:rFonts w:cs="Arial"/>
          <w:szCs w:val="24"/>
        </w:rPr>
        <w:t>1.857E-3 Pa-</w:t>
      </w:r>
      <w:r w:rsidR="00915D7D">
        <w:rPr>
          <w:rFonts w:cs="Arial"/>
          <w:szCs w:val="24"/>
        </w:rPr>
        <w:t xml:space="preserve">s and </w:t>
      </w:r>
      <w:r>
        <w:rPr>
          <w:rFonts w:cs="Arial"/>
          <w:szCs w:val="24"/>
        </w:rPr>
        <w:t>1.213E-3 Pa-s,</w:t>
      </w:r>
      <w:r w:rsidR="00915D7D">
        <w:rPr>
          <w:rFonts w:cs="Arial"/>
          <w:szCs w:val="24"/>
        </w:rPr>
        <w:t xml:space="preserve"> respectively.</w:t>
      </w:r>
    </w:p>
    <w:p w14:paraId="3A469CD3" w14:textId="77777777" w:rsidR="00FB20EE" w:rsidRDefault="00FB20EE" w:rsidP="006D64FD">
      <w:pPr>
        <w:rPr>
          <w:rFonts w:cs="Arial"/>
          <w:szCs w:val="24"/>
        </w:rPr>
      </w:pPr>
    </w:p>
    <w:p w14:paraId="41FB2AB6" w14:textId="77777777" w:rsidR="00FB20EE" w:rsidRDefault="00FB20EE" w:rsidP="00FB20EE">
      <w:pPr>
        <w:jc w:val="center"/>
        <w:rPr>
          <w:rFonts w:cs="Arial"/>
          <w:szCs w:val="24"/>
        </w:rPr>
      </w:pPr>
      <w:r>
        <w:rPr>
          <w:rFonts w:cs="Arial"/>
          <w:szCs w:val="24"/>
        </w:rPr>
        <w:t>Figure 1</w:t>
      </w:r>
    </w:p>
    <w:p w14:paraId="5BA25CB6" w14:textId="77777777" w:rsidR="00FB20EE" w:rsidRDefault="00FB20EE" w:rsidP="00FB20EE">
      <w:pPr>
        <w:jc w:val="center"/>
        <w:rPr>
          <w:rFonts w:cs="Arial"/>
          <w:szCs w:val="24"/>
        </w:rPr>
      </w:pPr>
    </w:p>
    <w:p w14:paraId="7ECB8EBA" w14:textId="77777777" w:rsidR="00FB20EE" w:rsidRDefault="00FB20EE" w:rsidP="00FB20EE">
      <w:pPr>
        <w:rPr>
          <w:rFonts w:cs="Arial"/>
          <w:szCs w:val="24"/>
        </w:rPr>
      </w:pPr>
    </w:p>
    <w:p w14:paraId="622F62E4" w14:textId="56A50FDF" w:rsidR="000C181D" w:rsidRDefault="00EC4A9F" w:rsidP="006E4F0B">
      <w:pPr>
        <w:ind w:firstLine="360"/>
        <w:rPr>
          <w:rFonts w:cs="Arial"/>
          <w:szCs w:val="24"/>
        </w:rPr>
      </w:pPr>
      <w:r>
        <w:rPr>
          <w:rFonts w:cs="Arial"/>
          <w:szCs w:val="24"/>
        </w:rPr>
        <w:t>These results demonstrate</w:t>
      </w:r>
      <w:r w:rsidR="006E4F0B">
        <w:rPr>
          <w:rFonts w:cs="Arial"/>
          <w:szCs w:val="24"/>
        </w:rPr>
        <w:t xml:space="preserve"> that urea can be used as a low-density additive for changing the refractive index of working fluids. </w:t>
      </w:r>
      <w:r w:rsidR="007C43EA">
        <w:rPr>
          <w:rFonts w:cs="Arial"/>
          <w:szCs w:val="24"/>
        </w:rPr>
        <w:t xml:space="preserve">Among additives tested, </w:t>
      </w:r>
      <w:proofErr w:type="spellStart"/>
      <w:r w:rsidR="007C43EA">
        <w:rPr>
          <w:rFonts w:cs="Arial"/>
          <w:szCs w:val="24"/>
        </w:rPr>
        <w:t>NaI</w:t>
      </w:r>
      <w:proofErr w:type="spellEnd"/>
      <w:r w:rsidR="007C43EA">
        <w:rPr>
          <w:rFonts w:cs="Arial"/>
          <w:szCs w:val="24"/>
        </w:rPr>
        <w:t xml:space="preserve"> and urea had the smallest </w:t>
      </w:r>
      <w:r w:rsidR="0084266D">
        <w:rPr>
          <w:rFonts w:cs="Arial"/>
          <w:szCs w:val="24"/>
        </w:rPr>
        <w:t xml:space="preserve">and similar </w:t>
      </w:r>
      <w:r w:rsidR="007C43EA">
        <w:rPr>
          <w:rFonts w:cs="Arial"/>
          <w:szCs w:val="24"/>
        </w:rPr>
        <w:t>effect on dynamic</w:t>
      </w:r>
      <w:r w:rsidR="00E17216">
        <w:rPr>
          <w:rFonts w:cs="Arial"/>
          <w:szCs w:val="24"/>
        </w:rPr>
        <w:t xml:space="preserve"> viscosity. </w:t>
      </w:r>
      <w:r w:rsidR="00D304C7">
        <w:rPr>
          <w:rFonts w:cs="Arial"/>
          <w:szCs w:val="24"/>
        </w:rPr>
        <w:t xml:space="preserve">These results agreed with the general consensus that </w:t>
      </w:r>
      <w:proofErr w:type="spellStart"/>
      <w:r w:rsidR="00D304C7">
        <w:rPr>
          <w:rFonts w:cs="Arial"/>
          <w:szCs w:val="24"/>
        </w:rPr>
        <w:t>NaI</w:t>
      </w:r>
      <w:proofErr w:type="spellEnd"/>
      <w:r w:rsidR="00D304C7">
        <w:rPr>
          <w:rFonts w:cs="Arial"/>
          <w:szCs w:val="24"/>
        </w:rPr>
        <w:t xml:space="preserve"> has negligible effect on kinematic viscosity. </w:t>
      </w:r>
      <w:r w:rsidR="006E4F0B">
        <w:rPr>
          <w:rFonts w:cs="Arial"/>
          <w:szCs w:val="24"/>
        </w:rPr>
        <w:t xml:space="preserve">For </w:t>
      </w:r>
      <w:r w:rsidR="00DD7F64">
        <w:rPr>
          <w:rFonts w:cs="Arial"/>
          <w:szCs w:val="24"/>
        </w:rPr>
        <w:t xml:space="preserve">blood analogs </w:t>
      </w:r>
      <w:r w:rsidR="006E4F0B">
        <w:rPr>
          <w:rFonts w:cs="Arial"/>
          <w:szCs w:val="24"/>
        </w:rPr>
        <w:t>matching refractive indices in the range of 1.38 to 1.40, a mixture of</w:t>
      </w:r>
      <w:r w:rsidR="001E6218">
        <w:rPr>
          <w:rFonts w:cs="Arial"/>
          <w:szCs w:val="24"/>
        </w:rPr>
        <w:t xml:space="preserve"> water-</w:t>
      </w:r>
      <w:r w:rsidR="006E4F0B">
        <w:rPr>
          <w:rFonts w:cs="Arial"/>
          <w:szCs w:val="24"/>
        </w:rPr>
        <w:t xml:space="preserve">xylitol should be considered. For example, you can achieve a </w:t>
      </w:r>
      <w:r w:rsidR="001E6218">
        <w:rPr>
          <w:rFonts w:cs="Arial"/>
          <w:szCs w:val="24"/>
        </w:rPr>
        <w:t>water-xylitol solution</w:t>
      </w:r>
      <w:r w:rsidR="006E4F0B">
        <w:rPr>
          <w:rFonts w:cs="Arial"/>
          <w:szCs w:val="24"/>
        </w:rPr>
        <w:t xml:space="preserve"> where the RI = </w:t>
      </w:r>
      <w:r w:rsidR="001E6218">
        <w:rPr>
          <w:rFonts w:cs="Arial"/>
          <w:szCs w:val="24"/>
        </w:rPr>
        <w:t>1.3915</w:t>
      </w:r>
      <w:r w:rsidR="006E4F0B">
        <w:rPr>
          <w:rFonts w:cs="Arial"/>
          <w:szCs w:val="24"/>
        </w:rPr>
        <w:t xml:space="preserve">, </w:t>
      </w:r>
      <w:r w:rsidR="006E4F0B">
        <w:rPr>
          <w:rFonts w:cs="Arial"/>
          <w:szCs w:val="24"/>
        </w:rPr>
        <w:sym w:font="Symbol" w:char="F072"/>
      </w:r>
      <w:r w:rsidR="006E4F0B">
        <w:rPr>
          <w:rFonts w:cs="Arial"/>
          <w:szCs w:val="24"/>
        </w:rPr>
        <w:t xml:space="preserve"> = </w:t>
      </w:r>
      <w:r w:rsidR="001E6218">
        <w:rPr>
          <w:rFonts w:cs="Arial"/>
          <w:szCs w:val="24"/>
        </w:rPr>
        <w:t>1139</w:t>
      </w:r>
      <w:r w:rsidR="006E4F0B">
        <w:rPr>
          <w:rFonts w:cs="Arial"/>
          <w:szCs w:val="24"/>
        </w:rPr>
        <w:t xml:space="preserve"> kg/m</w:t>
      </w:r>
      <w:r w:rsidR="006E4F0B">
        <w:rPr>
          <w:rFonts w:cs="Arial"/>
          <w:szCs w:val="24"/>
          <w:vertAlign w:val="superscript"/>
        </w:rPr>
        <w:t>3</w:t>
      </w:r>
      <w:r w:rsidR="006E4F0B">
        <w:rPr>
          <w:rFonts w:cs="Arial"/>
          <w:szCs w:val="24"/>
        </w:rPr>
        <w:t xml:space="preserve">, and </w:t>
      </w:r>
      <w:r w:rsidR="006E4F0B">
        <w:rPr>
          <w:rFonts w:cs="Arial"/>
          <w:szCs w:val="24"/>
        </w:rPr>
        <w:sym w:font="Symbol" w:char="F06D"/>
      </w:r>
      <w:r w:rsidR="006E4F0B">
        <w:rPr>
          <w:rFonts w:cs="Arial"/>
          <w:szCs w:val="24"/>
        </w:rPr>
        <w:t xml:space="preserve"> = </w:t>
      </w:r>
      <w:r w:rsidR="001E6218">
        <w:rPr>
          <w:rFonts w:cs="Arial"/>
          <w:szCs w:val="24"/>
        </w:rPr>
        <w:t>3.619E</w:t>
      </w:r>
      <w:r w:rsidR="00EC7BDE">
        <w:rPr>
          <w:rFonts w:cs="Arial"/>
          <w:szCs w:val="24"/>
        </w:rPr>
        <w:t>-3 Pa-</w:t>
      </w:r>
      <w:r w:rsidR="00E415BD">
        <w:rPr>
          <w:rFonts w:cs="Arial"/>
          <w:szCs w:val="24"/>
        </w:rPr>
        <w:t>s.</w:t>
      </w:r>
    </w:p>
    <w:p w14:paraId="4EF19F44" w14:textId="77777777" w:rsidR="000C181D" w:rsidRDefault="000C181D" w:rsidP="000C181D"/>
    <w:p w14:paraId="2677D6C3" w14:textId="471869C1" w:rsidR="00497C0B" w:rsidRDefault="00497C0B" w:rsidP="00497C0B">
      <w:pPr>
        <w:pStyle w:val="heading2"/>
        <w:numPr>
          <w:ilvl w:val="1"/>
          <w:numId w:val="4"/>
        </w:numPr>
        <w:ind w:left="450" w:hanging="450"/>
      </w:pPr>
      <w:r>
        <w:t>Three-component Newtonian</w:t>
      </w:r>
      <w:r w:rsidR="00076622">
        <w:t xml:space="preserve"> Fluids</w:t>
      </w:r>
    </w:p>
    <w:p w14:paraId="5E76AF42" w14:textId="5406AA02" w:rsidR="00E415BD" w:rsidRDefault="008B1D5C" w:rsidP="00E415BD">
      <w:pPr>
        <w:ind w:firstLine="450"/>
        <w:rPr>
          <w:rFonts w:cs="Arial"/>
          <w:szCs w:val="24"/>
        </w:rPr>
      </w:pPr>
      <w:r>
        <w:rPr>
          <w:rFonts w:cs="Arial"/>
          <w:szCs w:val="24"/>
        </w:rPr>
        <w:t xml:space="preserve">Urea and </w:t>
      </w:r>
      <w:proofErr w:type="spellStart"/>
      <w:r>
        <w:rPr>
          <w:rFonts w:cs="Arial"/>
          <w:szCs w:val="24"/>
        </w:rPr>
        <w:t>NaI</w:t>
      </w:r>
      <w:proofErr w:type="spellEnd"/>
      <w:r>
        <w:rPr>
          <w:rFonts w:cs="Arial"/>
          <w:szCs w:val="24"/>
        </w:rPr>
        <w:t xml:space="preserve"> were used to make three-component </w:t>
      </w:r>
      <w:r w:rsidR="00BA573C">
        <w:rPr>
          <w:rFonts w:cs="Arial"/>
          <w:szCs w:val="24"/>
        </w:rPr>
        <w:t xml:space="preserve">Newtonian solutions </w:t>
      </w:r>
      <w:r>
        <w:rPr>
          <w:rFonts w:cs="Arial"/>
          <w:szCs w:val="24"/>
        </w:rPr>
        <w:t>o</w:t>
      </w:r>
      <w:r w:rsidR="008A3C10">
        <w:rPr>
          <w:rFonts w:cs="Arial"/>
          <w:szCs w:val="24"/>
        </w:rPr>
        <w:t>f water-glycerol-ad</w:t>
      </w:r>
      <w:r w:rsidR="002B270C">
        <w:rPr>
          <w:rFonts w:cs="Arial"/>
          <w:szCs w:val="24"/>
        </w:rPr>
        <w:t>ditive to develop blood analog</w:t>
      </w:r>
      <w:r w:rsidR="008A3C10">
        <w:rPr>
          <w:rFonts w:cs="Arial"/>
          <w:szCs w:val="24"/>
        </w:rPr>
        <w:t xml:space="preserve">s. </w:t>
      </w:r>
      <w:r w:rsidR="009F4A37">
        <w:rPr>
          <w:rFonts w:cs="Arial"/>
          <w:szCs w:val="24"/>
        </w:rPr>
        <w:t>Xylitol was not incl</w:t>
      </w:r>
      <w:r w:rsidR="00EC7BDE">
        <w:rPr>
          <w:rFonts w:cs="Arial"/>
          <w:szCs w:val="24"/>
        </w:rPr>
        <w:t>uded here because the resulting solution when mixed with glycerol has a</w:t>
      </w:r>
      <w:r w:rsidR="009F4A37">
        <w:rPr>
          <w:rFonts w:cs="Arial"/>
          <w:szCs w:val="24"/>
        </w:rPr>
        <w:t xml:space="preserve"> viscosity </w:t>
      </w:r>
      <w:r w:rsidR="00EC7BDE">
        <w:rPr>
          <w:rFonts w:cs="Arial"/>
          <w:szCs w:val="24"/>
        </w:rPr>
        <w:t>2-3 times that of blood</w:t>
      </w:r>
      <w:r w:rsidR="008A3C10">
        <w:rPr>
          <w:rFonts w:cs="Arial"/>
          <w:szCs w:val="24"/>
        </w:rPr>
        <w:t xml:space="preserve">. </w:t>
      </w:r>
      <w:r w:rsidR="008A3C10">
        <w:rPr>
          <w:rFonts w:cs="Arial"/>
          <w:szCs w:val="24"/>
        </w:rPr>
        <w:lastRenderedPageBreak/>
        <w:t>Figure 2 shows the RI (2a), density (2b) and viscosity (2c) of these fluids. Water-glycerol solutions were prepa</w:t>
      </w:r>
      <w:r w:rsidR="009F4A37">
        <w:rPr>
          <w:rFonts w:cs="Arial"/>
          <w:szCs w:val="24"/>
        </w:rPr>
        <w:t>red to represent low (3.0E-3 Pa-s), medium (3.8E-3 Pa-s), and high (4.6E-3 Pa-</w:t>
      </w:r>
      <w:r w:rsidR="00076622">
        <w:rPr>
          <w:rFonts w:cs="Arial"/>
          <w:szCs w:val="24"/>
        </w:rPr>
        <w:t>s)</w:t>
      </w:r>
      <w:r w:rsidR="008A3C10">
        <w:rPr>
          <w:rFonts w:cs="Arial"/>
          <w:szCs w:val="24"/>
        </w:rPr>
        <w:t xml:space="preserve"> values of </w:t>
      </w:r>
      <w:r w:rsidR="00EC7BDE">
        <w:rPr>
          <w:rFonts w:cs="Arial"/>
          <w:szCs w:val="24"/>
        </w:rPr>
        <w:t xml:space="preserve">reported </w:t>
      </w:r>
      <w:r w:rsidR="008A3C10">
        <w:rPr>
          <w:rFonts w:cs="Arial"/>
          <w:szCs w:val="24"/>
        </w:rPr>
        <w:t>blood viscosity</w:t>
      </w:r>
      <w:r w:rsidR="00EC7BDE">
        <w:rPr>
          <w:rFonts w:cs="Arial"/>
          <w:szCs w:val="24"/>
        </w:rPr>
        <w:t xml:space="preserve"> </w:t>
      </w:r>
      <w:r w:rsidR="00EC7BDE">
        <w:rPr>
          <w:rFonts w:cs="Arial"/>
          <w:szCs w:val="24"/>
        </w:rPr>
        <w:fldChar w:fldCharType="begin" w:fldLock="1"/>
      </w:r>
      <w:r w:rsidR="00215E80">
        <w:rPr>
          <w:rFonts w:cs="Arial"/>
          <w:szCs w:val="24"/>
        </w:rPr>
        <w:instrText>ADDIN CSL_CITATION {"citationItems":[{"id":"ITEM-1","itemData":{"DOI":"10.1007/s00348-010-0958-1","author":[{"dropping-particle":"","family":"Yousif","given":"Majid Y","non-dropping-particle":"","parse-names":false,"suffix":""},{"dropping-particle":"","family":"Holdsworth","given":"David W.","non-dropping-particle":"","parse-names":false,"suffix":""},{"dropping-particle":"","family":"Poepping","given":"Tamie L","non-dropping-particle":"","parse-names":false,"suffix":""}],"container-title":"Experiments in Fluids","id":"ITEM-1","issued":{"date-parts":[["2011"]]},"page":"769-774","title":"A blood-mimicking fluid for particle image velocimetry with silicone vascular models","type":"article-journal","volume":"50"},"uris":["http://www.mendeley.com/documents/?uuid=70bb48a2-8b6e-4912-b1f3-5ab068b47d0e"]},{"id":"ITEM-2","itemData":{"ISSN":"0008-4409","PMID":"14217258","abstract":"Viscosity of whole blood and plasma was measured in 258 apparently healthy subjects of both sexes from 5 to 60 years of age, and in 86 patients with unequivocal evidence of chronic coronary heart disease. Children and young healthy females had the lowest viscosity readings. Healthy young and middle-aged males had significantly higher blood viscosity than females. Patients with coronary heart disease had significantly higher blood viscosity values than healthy groups of the same sex. It is suggested that the higher viscosity of whole blood and of plasma is a contributory factor in development of clinical manifestations of coronary heart disease and possibly of the basic vascular lesion itself.","author":[{"dropping-particle":"","family":"Mayer","given":"G A","non-dropping-particle":"","parse-names":false,"suffix":""}],"container-title":"Canadian Medical Association Journal","id":"ITEM-2","issued":{"date-parts":[["1964"]]},"page":"951-4","title":"Blood Viscosity in Healthy Subjects and Patients With Coronary Heart Disease.","type":"article-journal","volume":"91"},"uris":["http://www.mendeley.com/documents/?uuid=8f8a090c-d1a7-4c09-ab25-d69c0c64b089","http://www.mendeley.com/documents/?uuid=1f7a2cb2-3c36-4a90-8010-93777b281480"]}],"mendeley":{"formattedCitation":"(Mayer 1964; Yousif et al. 2011)","plainTextFormattedCitation":"(Mayer 1964; Yousif et al. 2011)","previouslyFormattedCitation":"(Mayer 1964; Yousif et al. 2011)"},"properties":{"noteIndex":0},"schema":"https://github.com/citation-style-language/schema/raw/master/csl-citation.json"}</w:instrText>
      </w:r>
      <w:r w:rsidR="00EC7BDE">
        <w:rPr>
          <w:rFonts w:cs="Arial"/>
          <w:szCs w:val="24"/>
        </w:rPr>
        <w:fldChar w:fldCharType="separate"/>
      </w:r>
      <w:r w:rsidR="00EC7BDE" w:rsidRPr="00EC7BDE">
        <w:rPr>
          <w:rFonts w:cs="Arial"/>
          <w:noProof/>
          <w:szCs w:val="24"/>
        </w:rPr>
        <w:t>(Mayer 1964; Yousif et al. 2011)</w:t>
      </w:r>
      <w:r w:rsidR="00EC7BDE">
        <w:rPr>
          <w:rFonts w:cs="Arial"/>
          <w:szCs w:val="24"/>
        </w:rPr>
        <w:fldChar w:fldCharType="end"/>
      </w:r>
      <w:r w:rsidR="008A3C10">
        <w:rPr>
          <w:rFonts w:cs="Arial"/>
          <w:szCs w:val="24"/>
        </w:rPr>
        <w:t xml:space="preserve">. </w:t>
      </w:r>
      <w:r w:rsidR="009F4A37">
        <w:rPr>
          <w:rFonts w:cs="Arial"/>
          <w:szCs w:val="24"/>
        </w:rPr>
        <w:t>The corresponding</w:t>
      </w:r>
      <w:r w:rsidR="00D16B2D">
        <w:rPr>
          <w:rFonts w:cs="Arial"/>
          <w:szCs w:val="24"/>
        </w:rPr>
        <w:t xml:space="preserve"> water-glycerol </w:t>
      </w:r>
      <w:r w:rsidR="009F4A37">
        <w:rPr>
          <w:rFonts w:cs="Arial"/>
          <w:szCs w:val="24"/>
        </w:rPr>
        <w:t xml:space="preserve">volume </w:t>
      </w:r>
      <w:r w:rsidR="002B270C">
        <w:rPr>
          <w:rFonts w:cs="Arial"/>
          <w:szCs w:val="24"/>
        </w:rPr>
        <w:t xml:space="preserve">ratios </w:t>
      </w:r>
      <w:r w:rsidR="009F4A37">
        <w:rPr>
          <w:rFonts w:cs="Arial"/>
          <w:szCs w:val="24"/>
        </w:rPr>
        <w:t>for the low, medium, and high viscosity solutions</w:t>
      </w:r>
      <w:r w:rsidR="00D16B2D">
        <w:rPr>
          <w:rFonts w:cs="Arial"/>
          <w:szCs w:val="24"/>
        </w:rPr>
        <w:t xml:space="preserve"> </w:t>
      </w:r>
      <w:r w:rsidR="009F4A37">
        <w:rPr>
          <w:rFonts w:cs="Arial"/>
          <w:szCs w:val="24"/>
        </w:rPr>
        <w:t xml:space="preserve">were </w:t>
      </w:r>
      <w:r w:rsidR="00A7213D">
        <w:rPr>
          <w:rFonts w:cs="Arial"/>
          <w:szCs w:val="24"/>
        </w:rPr>
        <w:t>67</w:t>
      </w:r>
      <w:r w:rsidR="009F4A37">
        <w:rPr>
          <w:rFonts w:cs="Arial"/>
          <w:szCs w:val="24"/>
        </w:rPr>
        <w:t>/</w:t>
      </w:r>
      <w:r w:rsidR="00BD0B3C">
        <w:rPr>
          <w:rFonts w:cs="Arial"/>
          <w:szCs w:val="24"/>
        </w:rPr>
        <w:t>3</w:t>
      </w:r>
      <w:r w:rsidR="00A7213D">
        <w:rPr>
          <w:rFonts w:cs="Arial"/>
          <w:szCs w:val="24"/>
        </w:rPr>
        <w:t>3, 62</w:t>
      </w:r>
      <w:r w:rsidR="009F4A37">
        <w:rPr>
          <w:rFonts w:cs="Arial"/>
          <w:szCs w:val="24"/>
        </w:rPr>
        <w:t>/</w:t>
      </w:r>
      <w:r w:rsidR="00A7213D">
        <w:rPr>
          <w:rFonts w:cs="Arial"/>
          <w:szCs w:val="24"/>
        </w:rPr>
        <w:t>38 and 58</w:t>
      </w:r>
      <w:r w:rsidR="009F4A37">
        <w:rPr>
          <w:rFonts w:cs="Arial"/>
          <w:szCs w:val="24"/>
        </w:rPr>
        <w:t>/</w:t>
      </w:r>
      <w:r w:rsidR="00A7213D">
        <w:rPr>
          <w:rFonts w:cs="Arial"/>
          <w:szCs w:val="24"/>
        </w:rPr>
        <w:t>42</w:t>
      </w:r>
      <w:r w:rsidR="009F4A37">
        <w:rPr>
          <w:rFonts w:cs="Arial"/>
          <w:szCs w:val="24"/>
        </w:rPr>
        <w:t>,</w:t>
      </w:r>
      <w:r w:rsidR="00D16B2D">
        <w:rPr>
          <w:rFonts w:cs="Arial"/>
          <w:szCs w:val="24"/>
        </w:rPr>
        <w:t xml:space="preserve"> respectively. </w:t>
      </w:r>
    </w:p>
    <w:p w14:paraId="0A2E6E91" w14:textId="77777777" w:rsidR="00D16B2D" w:rsidRDefault="00D16B2D" w:rsidP="00E415BD">
      <w:pPr>
        <w:ind w:firstLine="450"/>
        <w:rPr>
          <w:rFonts w:cs="Arial"/>
          <w:szCs w:val="24"/>
        </w:rPr>
      </w:pPr>
    </w:p>
    <w:p w14:paraId="32546042" w14:textId="77777777" w:rsidR="00D16B2D" w:rsidRDefault="00D16B2D" w:rsidP="00D16B2D">
      <w:pPr>
        <w:ind w:firstLine="450"/>
        <w:jc w:val="center"/>
        <w:rPr>
          <w:rFonts w:cs="Arial"/>
          <w:szCs w:val="24"/>
        </w:rPr>
      </w:pPr>
      <w:r>
        <w:rPr>
          <w:rFonts w:cs="Arial"/>
          <w:szCs w:val="24"/>
        </w:rPr>
        <w:t>Figure 2</w:t>
      </w:r>
    </w:p>
    <w:p w14:paraId="69FD8490" w14:textId="77777777" w:rsidR="00D16B2D" w:rsidRDefault="00D16B2D" w:rsidP="00D16B2D">
      <w:pPr>
        <w:ind w:firstLine="450"/>
        <w:jc w:val="center"/>
        <w:rPr>
          <w:rFonts w:cs="Arial"/>
          <w:szCs w:val="24"/>
        </w:rPr>
      </w:pPr>
    </w:p>
    <w:p w14:paraId="3DD3782E" w14:textId="3EC5D714" w:rsidR="006E5253" w:rsidRDefault="0043106A" w:rsidP="006E5253">
      <w:pPr>
        <w:ind w:firstLine="450"/>
        <w:rPr>
          <w:rFonts w:cs="Arial"/>
          <w:szCs w:val="24"/>
        </w:rPr>
      </w:pPr>
      <w:r>
        <w:rPr>
          <w:rFonts w:cs="Arial"/>
          <w:szCs w:val="24"/>
        </w:rPr>
        <w:t>As</w:t>
      </w:r>
      <w:r w:rsidR="003C1DB8">
        <w:rPr>
          <w:rFonts w:cs="Arial"/>
          <w:szCs w:val="24"/>
        </w:rPr>
        <w:t xml:space="preserve"> shown in Figure 2</w:t>
      </w:r>
      <w:r w:rsidR="00097186">
        <w:rPr>
          <w:rFonts w:cs="Arial"/>
          <w:szCs w:val="24"/>
        </w:rPr>
        <w:t xml:space="preserve">a, the RI of both </w:t>
      </w:r>
      <w:r w:rsidR="0009134E">
        <w:rPr>
          <w:rFonts w:cs="Arial"/>
          <w:szCs w:val="24"/>
        </w:rPr>
        <w:t xml:space="preserve">the </w:t>
      </w:r>
      <w:r w:rsidR="00097186">
        <w:rPr>
          <w:rFonts w:cs="Arial"/>
          <w:szCs w:val="24"/>
        </w:rPr>
        <w:t xml:space="preserve">urea and </w:t>
      </w:r>
      <w:proofErr w:type="spellStart"/>
      <w:r w:rsidR="00097186">
        <w:rPr>
          <w:rFonts w:cs="Arial"/>
          <w:szCs w:val="24"/>
        </w:rPr>
        <w:t>NaI</w:t>
      </w:r>
      <w:proofErr w:type="spellEnd"/>
      <w:r w:rsidR="00097186">
        <w:rPr>
          <w:rFonts w:cs="Arial"/>
          <w:szCs w:val="24"/>
        </w:rPr>
        <w:t xml:space="preserve"> solutions increase</w:t>
      </w:r>
      <w:r w:rsidR="00B53181">
        <w:rPr>
          <w:rFonts w:cs="Arial"/>
          <w:szCs w:val="24"/>
        </w:rPr>
        <w:t>d</w:t>
      </w:r>
      <w:r w:rsidR="00097186">
        <w:rPr>
          <w:rFonts w:cs="Arial"/>
          <w:szCs w:val="24"/>
        </w:rPr>
        <w:t xml:space="preserve"> at a s</w:t>
      </w:r>
      <w:r w:rsidR="0009134E">
        <w:rPr>
          <w:rFonts w:cs="Arial"/>
          <w:szCs w:val="24"/>
        </w:rPr>
        <w:t>imilar rate as a function of weight percent</w:t>
      </w:r>
      <w:r w:rsidR="00B53181">
        <w:rPr>
          <w:rFonts w:cs="Arial"/>
          <w:szCs w:val="24"/>
        </w:rPr>
        <w:t xml:space="preserve">. </w:t>
      </w:r>
      <w:r w:rsidR="00A51498">
        <w:rPr>
          <w:rFonts w:cs="Arial"/>
          <w:szCs w:val="24"/>
        </w:rPr>
        <w:t>T</w:t>
      </w:r>
      <w:r w:rsidR="00B53181">
        <w:rPr>
          <w:rFonts w:cs="Arial"/>
          <w:szCs w:val="24"/>
        </w:rPr>
        <w:t xml:space="preserve">he change of index as a function of weight percent </w:t>
      </w:r>
      <w:r w:rsidR="00A51498">
        <w:rPr>
          <w:rFonts w:cs="Arial"/>
          <w:szCs w:val="24"/>
        </w:rPr>
        <w:t xml:space="preserve">of urea </w:t>
      </w:r>
      <w:r w:rsidR="00B53181">
        <w:rPr>
          <w:rFonts w:cs="Arial"/>
          <w:szCs w:val="24"/>
        </w:rPr>
        <w:t>was</w:t>
      </w:r>
      <w:r w:rsidR="00097186">
        <w:rPr>
          <w:rFonts w:cs="Arial"/>
          <w:szCs w:val="24"/>
        </w:rPr>
        <w:t xml:space="preserve"> independent of the starting ratio of water-glycerol in this range</w:t>
      </w:r>
      <w:r w:rsidR="00A51498">
        <w:rPr>
          <w:rFonts w:cs="Arial"/>
          <w:szCs w:val="24"/>
        </w:rPr>
        <w:t>. Thus, when using urea,</w:t>
      </w:r>
      <w:r w:rsidR="00D000D6">
        <w:rPr>
          <w:rFonts w:cs="Arial"/>
          <w:szCs w:val="24"/>
        </w:rPr>
        <w:t xml:space="preserve"> the desired fluid</w:t>
      </w:r>
      <w:r w:rsidR="00B53181">
        <w:rPr>
          <w:rFonts w:cs="Arial"/>
          <w:szCs w:val="24"/>
        </w:rPr>
        <w:t xml:space="preserve"> properties and RI can be</w:t>
      </w:r>
      <w:r w:rsidR="00372410">
        <w:rPr>
          <w:rFonts w:cs="Arial"/>
          <w:szCs w:val="24"/>
        </w:rPr>
        <w:t xml:space="preserve"> </w:t>
      </w:r>
      <w:r w:rsidR="00A51498">
        <w:rPr>
          <w:rFonts w:cs="Arial"/>
          <w:szCs w:val="24"/>
        </w:rPr>
        <w:t xml:space="preserve">planned and </w:t>
      </w:r>
      <w:r w:rsidR="00372410">
        <w:rPr>
          <w:rFonts w:cs="Arial"/>
          <w:szCs w:val="24"/>
        </w:rPr>
        <w:t>adj</w:t>
      </w:r>
      <w:r w:rsidR="00A51498">
        <w:rPr>
          <w:rFonts w:cs="Arial"/>
          <w:szCs w:val="24"/>
        </w:rPr>
        <w:t>u</w:t>
      </w:r>
      <w:r w:rsidR="00372410">
        <w:rPr>
          <w:rFonts w:cs="Arial"/>
          <w:szCs w:val="24"/>
        </w:rPr>
        <w:t>sted</w:t>
      </w:r>
      <w:r w:rsidR="00B53181">
        <w:rPr>
          <w:rFonts w:cs="Arial"/>
          <w:szCs w:val="24"/>
        </w:rPr>
        <w:t xml:space="preserve"> based on weight percent of glycerol and urea</w:t>
      </w:r>
      <w:r w:rsidR="00097186">
        <w:rPr>
          <w:rFonts w:cs="Arial"/>
          <w:szCs w:val="24"/>
        </w:rPr>
        <w:t>.</w:t>
      </w:r>
      <w:r w:rsidR="00B53181">
        <w:rPr>
          <w:rFonts w:cs="Arial"/>
          <w:szCs w:val="24"/>
        </w:rPr>
        <w:t xml:space="preserve"> </w:t>
      </w:r>
      <w:r w:rsidR="00A51498">
        <w:rPr>
          <w:rFonts w:cs="Arial"/>
          <w:szCs w:val="24"/>
        </w:rPr>
        <w:t>Considering the solution density, as</w:t>
      </w:r>
      <w:r w:rsidR="00B53181">
        <w:rPr>
          <w:rFonts w:cs="Arial"/>
          <w:szCs w:val="24"/>
        </w:rPr>
        <w:t xml:space="preserve"> observed in Figure 2b, the addition of urea</w:t>
      </w:r>
      <w:r w:rsidR="00B43801">
        <w:rPr>
          <w:rFonts w:cs="Arial"/>
          <w:szCs w:val="24"/>
        </w:rPr>
        <w:t xml:space="preserve"> </w:t>
      </w:r>
      <w:r w:rsidR="000D5647">
        <w:rPr>
          <w:rFonts w:cs="Arial"/>
          <w:szCs w:val="24"/>
        </w:rPr>
        <w:t xml:space="preserve">caused </w:t>
      </w:r>
      <w:bookmarkStart w:id="1" w:name="OLE_LINK1"/>
      <w:bookmarkStart w:id="2" w:name="OLE_LINK2"/>
      <w:r w:rsidR="000D5647">
        <w:rPr>
          <w:rFonts w:cs="Arial"/>
          <w:szCs w:val="24"/>
        </w:rPr>
        <w:t>a density increase of about 1.3 kg/m</w:t>
      </w:r>
      <w:r w:rsidR="000D5647" w:rsidRPr="00B53181">
        <w:rPr>
          <w:rFonts w:cs="Arial"/>
          <w:szCs w:val="24"/>
          <w:vertAlign w:val="superscript"/>
        </w:rPr>
        <w:t>3</w:t>
      </w:r>
      <w:r w:rsidR="000D5647">
        <w:rPr>
          <w:rFonts w:cs="Arial"/>
          <w:szCs w:val="24"/>
        </w:rPr>
        <w:t xml:space="preserve"> per </w:t>
      </w:r>
      <w:proofErr w:type="spellStart"/>
      <w:r w:rsidR="000D5647">
        <w:rPr>
          <w:rFonts w:cs="Arial"/>
          <w:szCs w:val="24"/>
        </w:rPr>
        <w:t>wt</w:t>
      </w:r>
      <w:bookmarkEnd w:id="1"/>
      <w:bookmarkEnd w:id="2"/>
      <w:proofErr w:type="spellEnd"/>
      <w:r w:rsidR="000D5647">
        <w:rPr>
          <w:rFonts w:cs="Arial"/>
          <w:szCs w:val="24"/>
        </w:rPr>
        <w:t xml:space="preserve">%, </w:t>
      </w:r>
      <w:r w:rsidR="00B53181">
        <w:rPr>
          <w:rFonts w:cs="Arial"/>
          <w:szCs w:val="24"/>
        </w:rPr>
        <w:t xml:space="preserve">while </w:t>
      </w:r>
      <w:proofErr w:type="spellStart"/>
      <w:r w:rsidR="00B53181">
        <w:rPr>
          <w:rFonts w:cs="Arial"/>
          <w:szCs w:val="24"/>
        </w:rPr>
        <w:t>NaI</w:t>
      </w:r>
      <w:proofErr w:type="spellEnd"/>
      <w:r w:rsidR="00B53181">
        <w:rPr>
          <w:rFonts w:cs="Arial"/>
          <w:szCs w:val="24"/>
        </w:rPr>
        <w:t xml:space="preserve"> caused </w:t>
      </w:r>
      <w:r w:rsidR="000D5647">
        <w:rPr>
          <w:rFonts w:cs="Arial"/>
          <w:szCs w:val="24"/>
        </w:rPr>
        <w:t>a density increase of approximately 6.0 kg/m</w:t>
      </w:r>
      <w:r w:rsidR="000D5647" w:rsidRPr="000D5647">
        <w:rPr>
          <w:rFonts w:cs="Arial"/>
          <w:szCs w:val="24"/>
          <w:vertAlign w:val="superscript"/>
        </w:rPr>
        <w:t>3</w:t>
      </w:r>
      <w:r w:rsidR="00A51498">
        <w:rPr>
          <w:rFonts w:cs="Arial"/>
          <w:szCs w:val="24"/>
        </w:rPr>
        <w:t xml:space="preserve"> per </w:t>
      </w:r>
      <w:proofErr w:type="spellStart"/>
      <w:r w:rsidR="00A51498">
        <w:rPr>
          <w:rFonts w:cs="Arial"/>
          <w:szCs w:val="24"/>
        </w:rPr>
        <w:t>wt</w:t>
      </w:r>
      <w:proofErr w:type="spellEnd"/>
      <w:r w:rsidR="00A51498">
        <w:rPr>
          <w:rFonts w:cs="Arial"/>
          <w:szCs w:val="24"/>
        </w:rPr>
        <w:t>%, a nearly five</w:t>
      </w:r>
      <w:r w:rsidR="000D5647">
        <w:rPr>
          <w:rFonts w:cs="Arial"/>
          <w:szCs w:val="24"/>
        </w:rPr>
        <w:t>-fold difference</w:t>
      </w:r>
      <w:r w:rsidR="00B53181">
        <w:rPr>
          <w:rFonts w:cs="Arial"/>
          <w:szCs w:val="24"/>
        </w:rPr>
        <w:t xml:space="preserve">. </w:t>
      </w:r>
      <w:r w:rsidR="00A51498">
        <w:rPr>
          <w:rFonts w:cs="Arial"/>
          <w:szCs w:val="24"/>
        </w:rPr>
        <w:t xml:space="preserve">Thus, when adding </w:t>
      </w:r>
      <w:proofErr w:type="spellStart"/>
      <w:r w:rsidR="00A51498">
        <w:rPr>
          <w:rFonts w:cs="Arial"/>
          <w:szCs w:val="24"/>
        </w:rPr>
        <w:t>NaI</w:t>
      </w:r>
      <w:proofErr w:type="spellEnd"/>
      <w:r w:rsidR="00A51498">
        <w:rPr>
          <w:rFonts w:cs="Arial"/>
          <w:szCs w:val="24"/>
        </w:rPr>
        <w:t xml:space="preserve">, the increase in density is substantial and should be considered. </w:t>
      </w:r>
      <w:r w:rsidR="0055744F">
        <w:rPr>
          <w:rFonts w:cs="Arial"/>
          <w:szCs w:val="24"/>
        </w:rPr>
        <w:t>In terms of viscosity,</w:t>
      </w:r>
      <w:r w:rsidR="000A3466">
        <w:rPr>
          <w:rFonts w:cs="Arial"/>
          <w:szCs w:val="24"/>
        </w:rPr>
        <w:t xml:space="preserve"> u</w:t>
      </w:r>
      <w:r w:rsidR="000D5647">
        <w:rPr>
          <w:rFonts w:cs="Arial"/>
          <w:szCs w:val="24"/>
        </w:rPr>
        <w:t xml:space="preserve">rea increased the fluid viscosity of the low, medium, and high water-glycerol solutions by 17, 7, and 12%, respectively. Thus, when adding urea to water-glycerol solutions, a small increase of viscosity is expected, but </w:t>
      </w:r>
      <w:r w:rsidR="001535E7">
        <w:rPr>
          <w:rFonts w:cs="Arial"/>
          <w:szCs w:val="24"/>
        </w:rPr>
        <w:t xml:space="preserve">the fluid viscosity can still remain within the range of blood viscosity. </w:t>
      </w:r>
      <w:r w:rsidR="00EC7BDE">
        <w:rPr>
          <w:rFonts w:cs="Arial"/>
          <w:szCs w:val="24"/>
        </w:rPr>
        <w:t xml:space="preserve">Table 2 </w:t>
      </w:r>
      <w:r w:rsidR="005F331F">
        <w:rPr>
          <w:rFonts w:cs="Arial"/>
          <w:szCs w:val="24"/>
        </w:rPr>
        <w:t>summariz</w:t>
      </w:r>
      <w:r w:rsidR="001535E7">
        <w:rPr>
          <w:rFonts w:cs="Arial"/>
          <w:szCs w:val="24"/>
        </w:rPr>
        <w:t>es the final properties of all three-component</w:t>
      </w:r>
      <w:r w:rsidR="005F331F">
        <w:rPr>
          <w:rFonts w:cs="Arial"/>
          <w:szCs w:val="24"/>
        </w:rPr>
        <w:t xml:space="preserve"> solutions.</w:t>
      </w:r>
      <w:r w:rsidR="00666A77">
        <w:rPr>
          <w:rFonts w:cs="Arial"/>
          <w:szCs w:val="24"/>
        </w:rPr>
        <w:t xml:space="preserve"> As previously indicated in Table 1, the urea solutions a</w:t>
      </w:r>
      <w:r w:rsidR="0066573C">
        <w:rPr>
          <w:rFonts w:cs="Arial"/>
          <w:szCs w:val="24"/>
        </w:rPr>
        <w:t>re approximately 5 times less expensive</w:t>
      </w:r>
      <w:r w:rsidR="00666A77">
        <w:rPr>
          <w:rFonts w:cs="Arial"/>
          <w:szCs w:val="24"/>
        </w:rPr>
        <w:t xml:space="preserve"> than the </w:t>
      </w:r>
      <w:proofErr w:type="spellStart"/>
      <w:r w:rsidR="00666A77">
        <w:rPr>
          <w:rFonts w:cs="Arial"/>
          <w:szCs w:val="24"/>
        </w:rPr>
        <w:t>NaI</w:t>
      </w:r>
      <w:proofErr w:type="spellEnd"/>
      <w:r w:rsidR="00666A77">
        <w:rPr>
          <w:rFonts w:cs="Arial"/>
          <w:szCs w:val="24"/>
        </w:rPr>
        <w:t xml:space="preserve"> solutions. Further, urea solutions are safe and easy </w:t>
      </w:r>
      <w:r w:rsidR="004177E0">
        <w:rPr>
          <w:rFonts w:cs="Arial"/>
          <w:szCs w:val="24"/>
        </w:rPr>
        <w:t xml:space="preserve">to </w:t>
      </w:r>
      <w:r w:rsidR="00666A77">
        <w:rPr>
          <w:rFonts w:cs="Arial"/>
          <w:szCs w:val="24"/>
        </w:rPr>
        <w:t xml:space="preserve">make and </w:t>
      </w:r>
      <w:r w:rsidR="00EC27F1">
        <w:rPr>
          <w:rFonts w:cs="Arial"/>
          <w:szCs w:val="24"/>
        </w:rPr>
        <w:t xml:space="preserve">use. A water-glycerol-urea solution was left in an experimental flow loop </w:t>
      </w:r>
      <w:r w:rsidR="004177E0">
        <w:rPr>
          <w:rFonts w:cs="Arial"/>
          <w:szCs w:val="24"/>
        </w:rPr>
        <w:t xml:space="preserve">for approximately 6 weeks </w:t>
      </w:r>
      <w:r w:rsidR="00EC27F1">
        <w:rPr>
          <w:rFonts w:cs="Arial"/>
          <w:szCs w:val="24"/>
        </w:rPr>
        <w:t xml:space="preserve">and in a Pyrex container for approximately four months. </w:t>
      </w:r>
      <w:r w:rsidR="004177E0">
        <w:rPr>
          <w:rFonts w:cs="Arial"/>
          <w:szCs w:val="24"/>
        </w:rPr>
        <w:t>No</w:t>
      </w:r>
      <w:r w:rsidR="00EC27F1">
        <w:rPr>
          <w:rFonts w:cs="Arial"/>
          <w:szCs w:val="24"/>
        </w:rPr>
        <w:t xml:space="preserve"> discoloration of the fluid or any flow loop components was observed.</w:t>
      </w:r>
    </w:p>
    <w:p w14:paraId="74B65DD1" w14:textId="77777777" w:rsidR="005F331F" w:rsidRDefault="005F331F" w:rsidP="005F331F">
      <w:pPr>
        <w:rPr>
          <w:rFonts w:cs="Arial"/>
          <w:szCs w:val="24"/>
        </w:rPr>
      </w:pPr>
    </w:p>
    <w:p w14:paraId="133A045A" w14:textId="77777777" w:rsidR="005F331F" w:rsidRPr="005F331F" w:rsidRDefault="00EC7BDE" w:rsidP="005F331F">
      <w:pPr>
        <w:rPr>
          <w:rFonts w:cs="Arial"/>
          <w:szCs w:val="24"/>
        </w:rPr>
      </w:pPr>
      <w:r>
        <w:rPr>
          <w:rFonts w:cs="Arial"/>
          <w:b/>
          <w:szCs w:val="24"/>
        </w:rPr>
        <w:t>Table 2</w:t>
      </w:r>
      <w:r w:rsidR="005F331F">
        <w:rPr>
          <w:rFonts w:cs="Arial"/>
          <w:b/>
          <w:szCs w:val="24"/>
        </w:rPr>
        <w:t xml:space="preserve">. </w:t>
      </w:r>
      <w:r w:rsidR="005F331F">
        <w:rPr>
          <w:rFonts w:cs="Arial"/>
          <w:szCs w:val="24"/>
        </w:rPr>
        <w:t>Final properties of three-component Newtonian fluids</w:t>
      </w:r>
      <w:r w:rsidR="0005776C">
        <w:rPr>
          <w:rFonts w:cs="Arial"/>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1"/>
        <w:gridCol w:w="928"/>
        <w:gridCol w:w="1072"/>
        <w:gridCol w:w="950"/>
        <w:gridCol w:w="928"/>
        <w:gridCol w:w="1170"/>
        <w:gridCol w:w="1792"/>
        <w:gridCol w:w="887"/>
      </w:tblGrid>
      <w:tr w:rsidR="00F61C11" w:rsidRPr="00F61C11" w14:paraId="4004291A" w14:textId="77777777" w:rsidTr="00F61C11">
        <w:tc>
          <w:tcPr>
            <w:tcW w:w="1081" w:type="dxa"/>
            <w:tcBorders>
              <w:top w:val="single" w:sz="4" w:space="0" w:color="auto"/>
              <w:bottom w:val="single" w:sz="4" w:space="0" w:color="auto"/>
            </w:tcBorders>
            <w:vAlign w:val="center"/>
          </w:tcPr>
          <w:p w14:paraId="34DDAE82" w14:textId="77777777" w:rsidR="00F61C11" w:rsidRPr="00F61C11" w:rsidRDefault="00F61C11" w:rsidP="002A1E7C">
            <w:pPr>
              <w:jc w:val="center"/>
              <w:rPr>
                <w:sz w:val="18"/>
                <w:szCs w:val="18"/>
              </w:rPr>
            </w:pPr>
            <w:r w:rsidRPr="00F61C11">
              <w:rPr>
                <w:sz w:val="18"/>
                <w:szCs w:val="18"/>
              </w:rPr>
              <w:t>Starting Viscosity</w:t>
            </w:r>
          </w:p>
        </w:tc>
        <w:tc>
          <w:tcPr>
            <w:tcW w:w="928" w:type="dxa"/>
            <w:tcBorders>
              <w:top w:val="single" w:sz="4" w:space="0" w:color="auto"/>
              <w:bottom w:val="single" w:sz="4" w:space="0" w:color="auto"/>
            </w:tcBorders>
            <w:vAlign w:val="center"/>
          </w:tcPr>
          <w:p w14:paraId="377C745D" w14:textId="77777777" w:rsidR="00F61C11" w:rsidRPr="00F61C11" w:rsidRDefault="00F61C11" w:rsidP="002A1E7C">
            <w:pPr>
              <w:jc w:val="center"/>
              <w:rPr>
                <w:sz w:val="18"/>
                <w:szCs w:val="18"/>
              </w:rPr>
            </w:pPr>
            <w:r w:rsidRPr="00F61C11">
              <w:rPr>
                <w:sz w:val="18"/>
                <w:szCs w:val="18"/>
              </w:rPr>
              <w:t>Material</w:t>
            </w:r>
          </w:p>
        </w:tc>
        <w:tc>
          <w:tcPr>
            <w:tcW w:w="1072" w:type="dxa"/>
            <w:tcBorders>
              <w:top w:val="single" w:sz="4" w:space="0" w:color="auto"/>
              <w:bottom w:val="single" w:sz="4" w:space="0" w:color="auto"/>
            </w:tcBorders>
            <w:vAlign w:val="center"/>
          </w:tcPr>
          <w:p w14:paraId="3C88E409" w14:textId="77777777" w:rsidR="00F61C11" w:rsidRPr="00F61C11" w:rsidRDefault="00F61C11" w:rsidP="002A1E7C">
            <w:pPr>
              <w:jc w:val="center"/>
              <w:rPr>
                <w:sz w:val="18"/>
                <w:szCs w:val="18"/>
              </w:rPr>
            </w:pPr>
            <w:proofErr w:type="spellStart"/>
            <w:r w:rsidRPr="00F61C11">
              <w:rPr>
                <w:sz w:val="18"/>
                <w:szCs w:val="18"/>
              </w:rPr>
              <w:t>Wt</w:t>
            </w:r>
            <w:proofErr w:type="spellEnd"/>
            <w:r w:rsidRPr="00F61C11">
              <w:rPr>
                <w:sz w:val="18"/>
                <w:szCs w:val="18"/>
              </w:rPr>
              <w:t>% Water</w:t>
            </w:r>
          </w:p>
        </w:tc>
        <w:tc>
          <w:tcPr>
            <w:tcW w:w="950" w:type="dxa"/>
            <w:tcBorders>
              <w:top w:val="single" w:sz="4" w:space="0" w:color="auto"/>
              <w:bottom w:val="single" w:sz="4" w:space="0" w:color="auto"/>
            </w:tcBorders>
          </w:tcPr>
          <w:p w14:paraId="6AA0F559" w14:textId="77777777" w:rsidR="00F61C11" w:rsidRPr="00F61C11" w:rsidRDefault="00F61C11" w:rsidP="002A1E7C">
            <w:pPr>
              <w:jc w:val="center"/>
              <w:rPr>
                <w:sz w:val="18"/>
                <w:szCs w:val="18"/>
              </w:rPr>
            </w:pPr>
            <w:proofErr w:type="spellStart"/>
            <w:r w:rsidRPr="00F61C11">
              <w:rPr>
                <w:sz w:val="18"/>
                <w:szCs w:val="18"/>
              </w:rPr>
              <w:t>Wt</w:t>
            </w:r>
            <w:proofErr w:type="spellEnd"/>
            <w:r w:rsidRPr="00F61C11">
              <w:rPr>
                <w:sz w:val="18"/>
                <w:szCs w:val="18"/>
              </w:rPr>
              <w:t>% Glycerol</w:t>
            </w:r>
          </w:p>
        </w:tc>
        <w:tc>
          <w:tcPr>
            <w:tcW w:w="928" w:type="dxa"/>
            <w:tcBorders>
              <w:top w:val="single" w:sz="4" w:space="0" w:color="auto"/>
              <w:bottom w:val="single" w:sz="4" w:space="0" w:color="auto"/>
            </w:tcBorders>
          </w:tcPr>
          <w:p w14:paraId="3BF14D7F" w14:textId="77777777" w:rsidR="00F61C11" w:rsidRPr="00F61C11" w:rsidRDefault="00F61C11" w:rsidP="002A1E7C">
            <w:pPr>
              <w:jc w:val="center"/>
              <w:rPr>
                <w:sz w:val="18"/>
                <w:szCs w:val="18"/>
              </w:rPr>
            </w:pPr>
            <w:proofErr w:type="spellStart"/>
            <w:r w:rsidRPr="00F61C11">
              <w:rPr>
                <w:sz w:val="18"/>
                <w:szCs w:val="18"/>
              </w:rPr>
              <w:t>Wt</w:t>
            </w:r>
            <w:proofErr w:type="spellEnd"/>
            <w:r w:rsidRPr="00F61C11">
              <w:rPr>
                <w:sz w:val="18"/>
                <w:szCs w:val="18"/>
              </w:rPr>
              <w:t>% Additive</w:t>
            </w:r>
          </w:p>
        </w:tc>
        <w:tc>
          <w:tcPr>
            <w:tcW w:w="1170" w:type="dxa"/>
            <w:tcBorders>
              <w:top w:val="single" w:sz="4" w:space="0" w:color="auto"/>
              <w:bottom w:val="single" w:sz="4" w:space="0" w:color="auto"/>
            </w:tcBorders>
            <w:vAlign w:val="center"/>
          </w:tcPr>
          <w:p w14:paraId="3336C5C6" w14:textId="77777777" w:rsidR="00F61C11" w:rsidRPr="00F61C11" w:rsidRDefault="00F61C11" w:rsidP="002A1E7C">
            <w:pPr>
              <w:jc w:val="center"/>
              <w:rPr>
                <w:sz w:val="18"/>
                <w:szCs w:val="18"/>
              </w:rPr>
            </w:pPr>
            <w:r w:rsidRPr="00F61C11">
              <w:rPr>
                <w:sz w:val="18"/>
                <w:szCs w:val="18"/>
              </w:rPr>
              <w:t>Refractive Index</w:t>
            </w:r>
          </w:p>
        </w:tc>
        <w:tc>
          <w:tcPr>
            <w:tcW w:w="1792" w:type="dxa"/>
            <w:tcBorders>
              <w:top w:val="single" w:sz="4" w:space="0" w:color="auto"/>
              <w:bottom w:val="single" w:sz="4" w:space="0" w:color="auto"/>
            </w:tcBorders>
            <w:vAlign w:val="center"/>
          </w:tcPr>
          <w:p w14:paraId="574DFF17" w14:textId="27FB5B94" w:rsidR="00F61C11" w:rsidRPr="00F61C11" w:rsidRDefault="00AB2580" w:rsidP="002A1E7C">
            <w:pPr>
              <w:jc w:val="center"/>
              <w:rPr>
                <w:sz w:val="18"/>
                <w:szCs w:val="18"/>
              </w:rPr>
            </w:pPr>
            <w:r>
              <w:rPr>
                <w:sz w:val="18"/>
                <w:szCs w:val="18"/>
              </w:rPr>
              <w:t>Viscosity (Pa-</w:t>
            </w:r>
            <w:r w:rsidR="00F61C11" w:rsidRPr="00F61C11">
              <w:rPr>
                <w:sz w:val="18"/>
                <w:szCs w:val="18"/>
              </w:rPr>
              <w:t>s)</w:t>
            </w:r>
          </w:p>
        </w:tc>
        <w:tc>
          <w:tcPr>
            <w:tcW w:w="887" w:type="dxa"/>
            <w:tcBorders>
              <w:top w:val="single" w:sz="4" w:space="0" w:color="auto"/>
              <w:bottom w:val="single" w:sz="4" w:space="0" w:color="auto"/>
            </w:tcBorders>
            <w:vAlign w:val="center"/>
          </w:tcPr>
          <w:p w14:paraId="663FFE1A" w14:textId="4B221A6E" w:rsidR="00F61C11" w:rsidRPr="00F61C11" w:rsidRDefault="00F61C11" w:rsidP="002A1E7C">
            <w:pPr>
              <w:jc w:val="center"/>
              <w:rPr>
                <w:sz w:val="18"/>
                <w:szCs w:val="18"/>
              </w:rPr>
            </w:pPr>
            <w:r w:rsidRPr="00F61C11">
              <w:rPr>
                <w:sz w:val="18"/>
                <w:szCs w:val="18"/>
              </w:rPr>
              <w:t>Density</w:t>
            </w:r>
            <w:r w:rsidR="009E36D2">
              <w:rPr>
                <w:sz w:val="18"/>
                <w:szCs w:val="18"/>
                <w:vertAlign w:val="superscript"/>
              </w:rPr>
              <w:t>*</w:t>
            </w:r>
            <w:r w:rsidRPr="00F61C11">
              <w:rPr>
                <w:sz w:val="18"/>
                <w:szCs w:val="18"/>
              </w:rPr>
              <w:t xml:space="preserve"> (kg/m</w:t>
            </w:r>
            <w:r w:rsidRPr="00F61C11">
              <w:rPr>
                <w:sz w:val="18"/>
                <w:szCs w:val="18"/>
                <w:vertAlign w:val="superscript"/>
              </w:rPr>
              <w:t>3</w:t>
            </w:r>
            <w:r w:rsidRPr="00F61C11">
              <w:rPr>
                <w:sz w:val="18"/>
                <w:szCs w:val="18"/>
              </w:rPr>
              <w:t>)</w:t>
            </w:r>
          </w:p>
        </w:tc>
      </w:tr>
      <w:tr w:rsidR="00F61C11" w:rsidRPr="00F61C11" w14:paraId="2CDC0887" w14:textId="77777777" w:rsidTr="000A2662">
        <w:tc>
          <w:tcPr>
            <w:tcW w:w="1081" w:type="dxa"/>
            <w:tcBorders>
              <w:top w:val="single" w:sz="4" w:space="0" w:color="auto"/>
              <w:bottom w:val="single" w:sz="4" w:space="0" w:color="FFFFFF" w:themeColor="background1"/>
            </w:tcBorders>
            <w:shd w:val="clear" w:color="auto" w:fill="auto"/>
          </w:tcPr>
          <w:p w14:paraId="7AA9955F" w14:textId="77777777" w:rsidR="00F61C11" w:rsidRPr="00F61C11" w:rsidRDefault="00F61C11" w:rsidP="002A1E7C">
            <w:pPr>
              <w:rPr>
                <w:sz w:val="18"/>
                <w:szCs w:val="18"/>
              </w:rPr>
            </w:pPr>
          </w:p>
        </w:tc>
        <w:tc>
          <w:tcPr>
            <w:tcW w:w="928" w:type="dxa"/>
            <w:tcBorders>
              <w:top w:val="single" w:sz="4" w:space="0" w:color="auto"/>
              <w:bottom w:val="single" w:sz="4" w:space="0" w:color="FFFFFF" w:themeColor="background1"/>
            </w:tcBorders>
            <w:shd w:val="clear" w:color="auto" w:fill="auto"/>
            <w:vAlign w:val="center"/>
          </w:tcPr>
          <w:p w14:paraId="56D44FED" w14:textId="77777777" w:rsidR="00F61C11" w:rsidRPr="00F61C11" w:rsidRDefault="00F61C11" w:rsidP="002A1E7C">
            <w:pPr>
              <w:jc w:val="center"/>
              <w:rPr>
                <w:sz w:val="18"/>
                <w:szCs w:val="18"/>
              </w:rPr>
            </w:pPr>
            <w:r w:rsidRPr="00F61C11">
              <w:rPr>
                <w:sz w:val="18"/>
                <w:szCs w:val="18"/>
              </w:rPr>
              <w:t>Blood; PDMS</w:t>
            </w:r>
          </w:p>
        </w:tc>
        <w:tc>
          <w:tcPr>
            <w:tcW w:w="1072" w:type="dxa"/>
            <w:tcBorders>
              <w:top w:val="single" w:sz="4" w:space="0" w:color="auto"/>
              <w:bottom w:val="single" w:sz="4" w:space="0" w:color="FFFFFF" w:themeColor="background1"/>
            </w:tcBorders>
            <w:shd w:val="clear" w:color="auto" w:fill="auto"/>
            <w:vAlign w:val="center"/>
          </w:tcPr>
          <w:p w14:paraId="2A0B1F06" w14:textId="77777777" w:rsidR="00F61C11" w:rsidRPr="00F61C11" w:rsidRDefault="00F61C11" w:rsidP="002A1E7C">
            <w:pPr>
              <w:jc w:val="center"/>
              <w:rPr>
                <w:sz w:val="18"/>
                <w:szCs w:val="18"/>
              </w:rPr>
            </w:pPr>
            <w:r w:rsidRPr="00F61C11">
              <w:rPr>
                <w:sz w:val="18"/>
                <w:szCs w:val="18"/>
              </w:rPr>
              <w:t>--</w:t>
            </w:r>
          </w:p>
        </w:tc>
        <w:tc>
          <w:tcPr>
            <w:tcW w:w="950" w:type="dxa"/>
            <w:tcBorders>
              <w:top w:val="single" w:sz="4" w:space="0" w:color="auto"/>
              <w:bottom w:val="single" w:sz="4" w:space="0" w:color="FFFFFF" w:themeColor="background1"/>
            </w:tcBorders>
            <w:vAlign w:val="center"/>
          </w:tcPr>
          <w:p w14:paraId="07B2008D" w14:textId="77777777" w:rsidR="00F61C11" w:rsidRPr="00F61C11" w:rsidRDefault="00F61C11" w:rsidP="000A2662">
            <w:pPr>
              <w:jc w:val="center"/>
              <w:rPr>
                <w:sz w:val="18"/>
                <w:szCs w:val="18"/>
              </w:rPr>
            </w:pPr>
            <w:r w:rsidRPr="00F61C11">
              <w:rPr>
                <w:sz w:val="18"/>
                <w:szCs w:val="18"/>
              </w:rPr>
              <w:t>--</w:t>
            </w:r>
          </w:p>
        </w:tc>
        <w:tc>
          <w:tcPr>
            <w:tcW w:w="928" w:type="dxa"/>
            <w:tcBorders>
              <w:top w:val="single" w:sz="4" w:space="0" w:color="auto"/>
              <w:bottom w:val="single" w:sz="4" w:space="0" w:color="FFFFFF" w:themeColor="background1"/>
            </w:tcBorders>
            <w:vAlign w:val="center"/>
          </w:tcPr>
          <w:p w14:paraId="52CBCCC1" w14:textId="77777777" w:rsidR="00F61C11" w:rsidRPr="00F61C11" w:rsidRDefault="00F61C11" w:rsidP="000A2662">
            <w:pPr>
              <w:jc w:val="center"/>
              <w:rPr>
                <w:sz w:val="18"/>
                <w:szCs w:val="18"/>
              </w:rPr>
            </w:pPr>
            <w:r w:rsidRPr="00F61C11">
              <w:rPr>
                <w:sz w:val="18"/>
                <w:szCs w:val="18"/>
              </w:rPr>
              <w:t>--</w:t>
            </w:r>
          </w:p>
        </w:tc>
        <w:tc>
          <w:tcPr>
            <w:tcW w:w="1170" w:type="dxa"/>
            <w:tcBorders>
              <w:top w:val="single" w:sz="4" w:space="0" w:color="auto"/>
              <w:bottom w:val="single" w:sz="4" w:space="0" w:color="FFFFFF" w:themeColor="background1"/>
            </w:tcBorders>
            <w:vAlign w:val="center"/>
          </w:tcPr>
          <w:p w14:paraId="6F7AF668" w14:textId="77777777" w:rsidR="00F61C11" w:rsidRPr="00F61C11" w:rsidRDefault="00F61C11" w:rsidP="002A1E7C">
            <w:pPr>
              <w:jc w:val="center"/>
              <w:rPr>
                <w:sz w:val="18"/>
                <w:szCs w:val="18"/>
              </w:rPr>
            </w:pPr>
            <w:r w:rsidRPr="00F61C11">
              <w:rPr>
                <w:sz w:val="18"/>
                <w:szCs w:val="18"/>
              </w:rPr>
              <w:t>1.4118</w:t>
            </w:r>
          </w:p>
        </w:tc>
        <w:tc>
          <w:tcPr>
            <w:tcW w:w="1792" w:type="dxa"/>
            <w:tcBorders>
              <w:top w:val="single" w:sz="4" w:space="0" w:color="auto"/>
              <w:bottom w:val="single" w:sz="4" w:space="0" w:color="FFFFFF" w:themeColor="background1"/>
            </w:tcBorders>
            <w:vAlign w:val="center"/>
          </w:tcPr>
          <w:p w14:paraId="5B4BDC01" w14:textId="77777777" w:rsidR="00F61C11" w:rsidRPr="00F61C11" w:rsidRDefault="00F61C11" w:rsidP="002A1E7C">
            <w:pPr>
              <w:jc w:val="center"/>
              <w:rPr>
                <w:rFonts w:cstheme="minorHAnsi"/>
                <w:sz w:val="18"/>
                <w:szCs w:val="18"/>
                <w:vertAlign w:val="superscript"/>
              </w:rPr>
            </w:pPr>
            <w:r w:rsidRPr="00F61C11">
              <w:rPr>
                <w:rFonts w:cstheme="minorHAnsi"/>
                <w:sz w:val="18"/>
                <w:szCs w:val="18"/>
              </w:rPr>
              <w:t>2.81E-3 – 3.72E-3</w:t>
            </w:r>
            <w:r w:rsidRPr="00F61C11">
              <w:rPr>
                <w:rFonts w:cstheme="minorHAnsi"/>
                <w:sz w:val="18"/>
                <w:szCs w:val="18"/>
                <w:vertAlign w:val="superscript"/>
              </w:rPr>
              <w:t>1</w:t>
            </w:r>
          </w:p>
          <w:p w14:paraId="084405AF" w14:textId="77777777" w:rsidR="00F61C11" w:rsidRPr="00F61C11" w:rsidRDefault="00F61C11" w:rsidP="002A1E7C">
            <w:pPr>
              <w:jc w:val="center"/>
              <w:rPr>
                <w:rFonts w:cstheme="minorHAnsi"/>
                <w:sz w:val="18"/>
                <w:szCs w:val="18"/>
                <w:vertAlign w:val="superscript"/>
              </w:rPr>
            </w:pPr>
            <w:r w:rsidRPr="00F61C11">
              <w:rPr>
                <w:rFonts w:cstheme="minorHAnsi"/>
                <w:sz w:val="18"/>
                <w:szCs w:val="18"/>
              </w:rPr>
              <w:t xml:space="preserve"> 3.8E-3 – 5.0E-3</w:t>
            </w:r>
            <w:r w:rsidRPr="00F61C11">
              <w:rPr>
                <w:rFonts w:cstheme="minorHAnsi"/>
                <w:sz w:val="18"/>
                <w:szCs w:val="18"/>
                <w:vertAlign w:val="superscript"/>
              </w:rPr>
              <w:t>2</w:t>
            </w:r>
          </w:p>
        </w:tc>
        <w:tc>
          <w:tcPr>
            <w:tcW w:w="887" w:type="dxa"/>
            <w:tcBorders>
              <w:top w:val="single" w:sz="4" w:space="0" w:color="auto"/>
              <w:bottom w:val="single" w:sz="4" w:space="0" w:color="FFFFFF" w:themeColor="background1"/>
            </w:tcBorders>
            <w:vAlign w:val="center"/>
          </w:tcPr>
          <w:p w14:paraId="349AAC98" w14:textId="77777777" w:rsidR="00F61C11" w:rsidRPr="00F61C11" w:rsidRDefault="00F61C11" w:rsidP="002A1E7C">
            <w:pPr>
              <w:jc w:val="center"/>
              <w:rPr>
                <w:sz w:val="18"/>
                <w:szCs w:val="18"/>
              </w:rPr>
            </w:pPr>
            <w:r w:rsidRPr="00F61C11">
              <w:rPr>
                <w:sz w:val="18"/>
                <w:szCs w:val="18"/>
              </w:rPr>
              <w:t>1060</w:t>
            </w:r>
          </w:p>
        </w:tc>
      </w:tr>
      <w:tr w:rsidR="00F61C11" w:rsidRPr="00F61C11" w14:paraId="3A5FD905" w14:textId="77777777" w:rsidTr="00F61C11">
        <w:tc>
          <w:tcPr>
            <w:tcW w:w="1081" w:type="dxa"/>
            <w:vMerge w:val="restart"/>
            <w:tcBorders>
              <w:top w:val="single" w:sz="4" w:space="0" w:color="FFFFFF" w:themeColor="background1"/>
            </w:tcBorders>
            <w:shd w:val="clear" w:color="auto" w:fill="auto"/>
            <w:vAlign w:val="center"/>
          </w:tcPr>
          <w:p w14:paraId="103FFD8F" w14:textId="77777777" w:rsidR="00F61C11" w:rsidRPr="00F61C11" w:rsidRDefault="00F61C11" w:rsidP="002A1E7C">
            <w:pPr>
              <w:rPr>
                <w:sz w:val="18"/>
                <w:szCs w:val="18"/>
              </w:rPr>
            </w:pPr>
            <w:r w:rsidRPr="00F61C11">
              <w:rPr>
                <w:sz w:val="18"/>
                <w:szCs w:val="18"/>
              </w:rPr>
              <w:t>LOW</w:t>
            </w:r>
          </w:p>
        </w:tc>
        <w:tc>
          <w:tcPr>
            <w:tcW w:w="928" w:type="dxa"/>
            <w:tcBorders>
              <w:top w:val="single" w:sz="4" w:space="0" w:color="FFFFFF" w:themeColor="background1"/>
            </w:tcBorders>
            <w:shd w:val="clear" w:color="auto" w:fill="auto"/>
          </w:tcPr>
          <w:p w14:paraId="01EF1A9D" w14:textId="77777777" w:rsidR="00F61C11" w:rsidRPr="00F61C11" w:rsidRDefault="00F61C11" w:rsidP="002A1E7C">
            <w:pPr>
              <w:jc w:val="center"/>
              <w:rPr>
                <w:sz w:val="18"/>
                <w:szCs w:val="18"/>
              </w:rPr>
            </w:pPr>
            <w:r w:rsidRPr="00F61C11">
              <w:rPr>
                <w:sz w:val="18"/>
                <w:szCs w:val="18"/>
              </w:rPr>
              <w:t>Urea</w:t>
            </w:r>
          </w:p>
        </w:tc>
        <w:tc>
          <w:tcPr>
            <w:tcW w:w="1072" w:type="dxa"/>
            <w:tcBorders>
              <w:top w:val="single" w:sz="4" w:space="0" w:color="FFFFFF" w:themeColor="background1"/>
            </w:tcBorders>
            <w:shd w:val="clear" w:color="auto" w:fill="auto"/>
            <w:vAlign w:val="center"/>
          </w:tcPr>
          <w:p w14:paraId="4CDCAD56" w14:textId="77777777" w:rsidR="00F61C11" w:rsidRPr="00F61C11" w:rsidRDefault="00F61C11" w:rsidP="002A1E7C">
            <w:pPr>
              <w:jc w:val="center"/>
              <w:rPr>
                <w:sz w:val="18"/>
                <w:szCs w:val="18"/>
              </w:rPr>
            </w:pPr>
            <w:r w:rsidRPr="00F61C11">
              <w:rPr>
                <w:sz w:val="18"/>
                <w:szCs w:val="18"/>
              </w:rPr>
              <w:t>45.64</w:t>
            </w:r>
          </w:p>
        </w:tc>
        <w:tc>
          <w:tcPr>
            <w:tcW w:w="950" w:type="dxa"/>
            <w:tcBorders>
              <w:top w:val="single" w:sz="4" w:space="0" w:color="FFFFFF" w:themeColor="background1"/>
            </w:tcBorders>
          </w:tcPr>
          <w:p w14:paraId="48F28DD7" w14:textId="77777777" w:rsidR="00F61C11" w:rsidRPr="00F61C11" w:rsidRDefault="00F61C11" w:rsidP="002A1E7C">
            <w:pPr>
              <w:jc w:val="center"/>
              <w:rPr>
                <w:sz w:val="18"/>
                <w:szCs w:val="18"/>
              </w:rPr>
            </w:pPr>
            <w:r w:rsidRPr="00F61C11">
              <w:rPr>
                <w:sz w:val="18"/>
                <w:szCs w:val="18"/>
              </w:rPr>
              <w:t>28.77</w:t>
            </w:r>
          </w:p>
        </w:tc>
        <w:tc>
          <w:tcPr>
            <w:tcW w:w="928" w:type="dxa"/>
            <w:tcBorders>
              <w:top w:val="single" w:sz="4" w:space="0" w:color="FFFFFF" w:themeColor="background1"/>
            </w:tcBorders>
          </w:tcPr>
          <w:p w14:paraId="1C385A88" w14:textId="77777777" w:rsidR="00F61C11" w:rsidRPr="00F61C11" w:rsidRDefault="00F61C11" w:rsidP="002A1E7C">
            <w:pPr>
              <w:jc w:val="center"/>
              <w:rPr>
                <w:sz w:val="18"/>
                <w:szCs w:val="18"/>
              </w:rPr>
            </w:pPr>
            <w:r w:rsidRPr="00F61C11">
              <w:rPr>
                <w:sz w:val="18"/>
                <w:szCs w:val="18"/>
              </w:rPr>
              <w:t>25.58</w:t>
            </w:r>
          </w:p>
        </w:tc>
        <w:tc>
          <w:tcPr>
            <w:tcW w:w="1170" w:type="dxa"/>
            <w:tcBorders>
              <w:top w:val="single" w:sz="4" w:space="0" w:color="FFFFFF" w:themeColor="background1"/>
            </w:tcBorders>
            <w:vAlign w:val="center"/>
          </w:tcPr>
          <w:p w14:paraId="38F5DCB0" w14:textId="77777777" w:rsidR="00F61C11" w:rsidRPr="00F61C11" w:rsidRDefault="00F61C11" w:rsidP="002A1E7C">
            <w:pPr>
              <w:jc w:val="center"/>
              <w:rPr>
                <w:sz w:val="18"/>
                <w:szCs w:val="18"/>
              </w:rPr>
            </w:pPr>
            <w:r w:rsidRPr="00F61C11">
              <w:rPr>
                <w:sz w:val="18"/>
                <w:szCs w:val="18"/>
              </w:rPr>
              <w:t>1.4118</w:t>
            </w:r>
          </w:p>
        </w:tc>
        <w:tc>
          <w:tcPr>
            <w:tcW w:w="1792" w:type="dxa"/>
            <w:tcBorders>
              <w:top w:val="single" w:sz="4" w:space="0" w:color="FFFFFF" w:themeColor="background1"/>
            </w:tcBorders>
            <w:vAlign w:val="center"/>
          </w:tcPr>
          <w:p w14:paraId="4B201824" w14:textId="77777777" w:rsidR="00F61C11" w:rsidRPr="00F61C11" w:rsidRDefault="00F61C11" w:rsidP="002A1E7C">
            <w:pPr>
              <w:jc w:val="center"/>
              <w:rPr>
                <w:sz w:val="18"/>
                <w:szCs w:val="18"/>
              </w:rPr>
            </w:pPr>
            <w:r w:rsidRPr="00F61C11">
              <w:rPr>
                <w:sz w:val="18"/>
                <w:szCs w:val="18"/>
              </w:rPr>
              <w:t>3.564E-3</w:t>
            </w:r>
          </w:p>
        </w:tc>
        <w:tc>
          <w:tcPr>
            <w:tcW w:w="887" w:type="dxa"/>
            <w:tcBorders>
              <w:top w:val="single" w:sz="4" w:space="0" w:color="FFFFFF" w:themeColor="background1"/>
            </w:tcBorders>
            <w:vAlign w:val="center"/>
          </w:tcPr>
          <w:p w14:paraId="294AEC81" w14:textId="77777777" w:rsidR="00F61C11" w:rsidRPr="00F61C11" w:rsidRDefault="00F61C11" w:rsidP="002A1E7C">
            <w:pPr>
              <w:jc w:val="center"/>
              <w:rPr>
                <w:sz w:val="18"/>
                <w:szCs w:val="18"/>
              </w:rPr>
            </w:pPr>
            <w:r w:rsidRPr="00F61C11">
              <w:rPr>
                <w:sz w:val="18"/>
                <w:szCs w:val="18"/>
              </w:rPr>
              <w:t>1130</w:t>
            </w:r>
          </w:p>
        </w:tc>
      </w:tr>
      <w:tr w:rsidR="00F61C11" w:rsidRPr="00F61C11" w14:paraId="446A4E5F" w14:textId="77777777" w:rsidTr="00F61C11">
        <w:tc>
          <w:tcPr>
            <w:tcW w:w="1081" w:type="dxa"/>
            <w:vMerge/>
            <w:tcBorders>
              <w:bottom w:val="single" w:sz="4" w:space="0" w:color="FFFFFF" w:themeColor="background1"/>
            </w:tcBorders>
            <w:shd w:val="clear" w:color="auto" w:fill="auto"/>
            <w:vAlign w:val="center"/>
          </w:tcPr>
          <w:p w14:paraId="0A156B96" w14:textId="77777777" w:rsidR="00F61C11" w:rsidRPr="00F61C11" w:rsidRDefault="00F61C11" w:rsidP="002A1E7C">
            <w:pPr>
              <w:rPr>
                <w:sz w:val="18"/>
                <w:szCs w:val="18"/>
              </w:rPr>
            </w:pPr>
          </w:p>
        </w:tc>
        <w:tc>
          <w:tcPr>
            <w:tcW w:w="928" w:type="dxa"/>
            <w:tcBorders>
              <w:bottom w:val="single" w:sz="4" w:space="0" w:color="FFFFFF" w:themeColor="background1"/>
            </w:tcBorders>
            <w:shd w:val="clear" w:color="auto" w:fill="auto"/>
          </w:tcPr>
          <w:p w14:paraId="72CD1A01" w14:textId="77777777" w:rsidR="00F61C11" w:rsidRPr="00F61C11" w:rsidRDefault="00F61C11" w:rsidP="002A1E7C">
            <w:pPr>
              <w:jc w:val="center"/>
              <w:rPr>
                <w:sz w:val="18"/>
                <w:szCs w:val="18"/>
              </w:rPr>
            </w:pPr>
            <w:proofErr w:type="spellStart"/>
            <w:r w:rsidRPr="00F61C11">
              <w:rPr>
                <w:sz w:val="18"/>
                <w:szCs w:val="18"/>
              </w:rPr>
              <w:t>NaI</w:t>
            </w:r>
            <w:proofErr w:type="spellEnd"/>
          </w:p>
        </w:tc>
        <w:tc>
          <w:tcPr>
            <w:tcW w:w="1072" w:type="dxa"/>
            <w:tcBorders>
              <w:bottom w:val="single" w:sz="4" w:space="0" w:color="FFFFFF" w:themeColor="background1"/>
            </w:tcBorders>
            <w:shd w:val="clear" w:color="auto" w:fill="auto"/>
            <w:vAlign w:val="center"/>
          </w:tcPr>
          <w:p w14:paraId="416B8143" w14:textId="77777777" w:rsidR="00F61C11" w:rsidRPr="00F61C11" w:rsidRDefault="00F61C11" w:rsidP="002A1E7C">
            <w:pPr>
              <w:jc w:val="center"/>
              <w:rPr>
                <w:sz w:val="18"/>
                <w:szCs w:val="18"/>
              </w:rPr>
            </w:pPr>
            <w:r w:rsidRPr="00F61C11">
              <w:rPr>
                <w:sz w:val="18"/>
                <w:szCs w:val="18"/>
              </w:rPr>
              <w:t>45.51</w:t>
            </w:r>
          </w:p>
        </w:tc>
        <w:tc>
          <w:tcPr>
            <w:tcW w:w="950" w:type="dxa"/>
            <w:tcBorders>
              <w:bottom w:val="single" w:sz="4" w:space="0" w:color="FFFFFF" w:themeColor="background1"/>
            </w:tcBorders>
          </w:tcPr>
          <w:p w14:paraId="544ACC91" w14:textId="77777777" w:rsidR="00F61C11" w:rsidRPr="00F61C11" w:rsidRDefault="00F61C11" w:rsidP="002A1E7C">
            <w:pPr>
              <w:jc w:val="center"/>
              <w:rPr>
                <w:sz w:val="18"/>
                <w:szCs w:val="18"/>
              </w:rPr>
            </w:pPr>
            <w:r w:rsidRPr="00F61C11">
              <w:rPr>
                <w:sz w:val="18"/>
                <w:szCs w:val="18"/>
              </w:rPr>
              <w:t>28.70</w:t>
            </w:r>
          </w:p>
        </w:tc>
        <w:tc>
          <w:tcPr>
            <w:tcW w:w="928" w:type="dxa"/>
            <w:tcBorders>
              <w:bottom w:val="single" w:sz="4" w:space="0" w:color="FFFFFF" w:themeColor="background1"/>
            </w:tcBorders>
          </w:tcPr>
          <w:p w14:paraId="5496BFB9" w14:textId="77777777" w:rsidR="00F61C11" w:rsidRPr="00F61C11" w:rsidRDefault="00F61C11" w:rsidP="002A1E7C">
            <w:pPr>
              <w:jc w:val="center"/>
              <w:rPr>
                <w:sz w:val="18"/>
                <w:szCs w:val="18"/>
              </w:rPr>
            </w:pPr>
            <w:r w:rsidRPr="00F61C11">
              <w:rPr>
                <w:sz w:val="18"/>
                <w:szCs w:val="18"/>
              </w:rPr>
              <w:t>25.79</w:t>
            </w:r>
          </w:p>
        </w:tc>
        <w:tc>
          <w:tcPr>
            <w:tcW w:w="1170" w:type="dxa"/>
            <w:tcBorders>
              <w:bottom w:val="single" w:sz="4" w:space="0" w:color="FFFFFF" w:themeColor="background1"/>
            </w:tcBorders>
            <w:vAlign w:val="center"/>
          </w:tcPr>
          <w:p w14:paraId="36460F5F" w14:textId="77777777" w:rsidR="00F61C11" w:rsidRPr="00F61C11" w:rsidRDefault="00F61C11" w:rsidP="002A1E7C">
            <w:pPr>
              <w:jc w:val="center"/>
              <w:rPr>
                <w:sz w:val="18"/>
                <w:szCs w:val="18"/>
              </w:rPr>
            </w:pPr>
            <w:r w:rsidRPr="00F61C11">
              <w:rPr>
                <w:sz w:val="18"/>
                <w:szCs w:val="18"/>
              </w:rPr>
              <w:t>1.4138</w:t>
            </w:r>
          </w:p>
        </w:tc>
        <w:tc>
          <w:tcPr>
            <w:tcW w:w="1792" w:type="dxa"/>
            <w:tcBorders>
              <w:bottom w:val="single" w:sz="4" w:space="0" w:color="FFFFFF" w:themeColor="background1"/>
            </w:tcBorders>
            <w:vAlign w:val="center"/>
          </w:tcPr>
          <w:p w14:paraId="38C89052" w14:textId="77777777" w:rsidR="00F61C11" w:rsidRPr="00F61C11" w:rsidRDefault="00F61C11" w:rsidP="002A1E7C">
            <w:pPr>
              <w:jc w:val="center"/>
              <w:rPr>
                <w:sz w:val="18"/>
                <w:szCs w:val="18"/>
              </w:rPr>
            </w:pPr>
            <w:r w:rsidRPr="00F61C11">
              <w:rPr>
                <w:sz w:val="18"/>
                <w:szCs w:val="18"/>
              </w:rPr>
              <w:t>3.117E-3</w:t>
            </w:r>
          </w:p>
        </w:tc>
        <w:tc>
          <w:tcPr>
            <w:tcW w:w="887" w:type="dxa"/>
            <w:tcBorders>
              <w:bottom w:val="single" w:sz="4" w:space="0" w:color="FFFFFF" w:themeColor="background1"/>
            </w:tcBorders>
            <w:vAlign w:val="center"/>
          </w:tcPr>
          <w:p w14:paraId="01556758" w14:textId="77777777" w:rsidR="00F61C11" w:rsidRPr="00F61C11" w:rsidRDefault="00F61C11" w:rsidP="002A1E7C">
            <w:pPr>
              <w:jc w:val="center"/>
              <w:rPr>
                <w:sz w:val="18"/>
                <w:szCs w:val="18"/>
              </w:rPr>
            </w:pPr>
            <w:r w:rsidRPr="00F61C11">
              <w:rPr>
                <w:sz w:val="18"/>
                <w:szCs w:val="18"/>
              </w:rPr>
              <w:t>1229</w:t>
            </w:r>
          </w:p>
        </w:tc>
      </w:tr>
      <w:tr w:rsidR="00F61C11" w:rsidRPr="00F61C11" w14:paraId="0382DF1A" w14:textId="77777777" w:rsidTr="00F61C11">
        <w:tc>
          <w:tcPr>
            <w:tcW w:w="1081" w:type="dxa"/>
            <w:vMerge w:val="restart"/>
            <w:tcBorders>
              <w:top w:val="single" w:sz="4" w:space="0" w:color="FFFFFF" w:themeColor="background1"/>
            </w:tcBorders>
            <w:shd w:val="clear" w:color="auto" w:fill="auto"/>
            <w:vAlign w:val="center"/>
          </w:tcPr>
          <w:p w14:paraId="3D4D5D38" w14:textId="77777777" w:rsidR="00F61C11" w:rsidRPr="00F61C11" w:rsidRDefault="00F61C11" w:rsidP="002A1E7C">
            <w:pPr>
              <w:rPr>
                <w:sz w:val="18"/>
                <w:szCs w:val="18"/>
              </w:rPr>
            </w:pPr>
            <w:r w:rsidRPr="00F61C11">
              <w:rPr>
                <w:sz w:val="18"/>
                <w:szCs w:val="18"/>
              </w:rPr>
              <w:t>MEDIUM</w:t>
            </w:r>
          </w:p>
        </w:tc>
        <w:tc>
          <w:tcPr>
            <w:tcW w:w="928" w:type="dxa"/>
            <w:tcBorders>
              <w:top w:val="single" w:sz="4" w:space="0" w:color="FFFFFF" w:themeColor="background1"/>
            </w:tcBorders>
            <w:shd w:val="clear" w:color="auto" w:fill="auto"/>
          </w:tcPr>
          <w:p w14:paraId="5BFDEFF4" w14:textId="77777777" w:rsidR="00F61C11" w:rsidRPr="00F61C11" w:rsidRDefault="00F61C11" w:rsidP="002A1E7C">
            <w:pPr>
              <w:jc w:val="center"/>
              <w:rPr>
                <w:sz w:val="18"/>
                <w:szCs w:val="18"/>
              </w:rPr>
            </w:pPr>
            <w:r w:rsidRPr="00F61C11">
              <w:rPr>
                <w:sz w:val="18"/>
                <w:szCs w:val="18"/>
              </w:rPr>
              <w:t>Urea</w:t>
            </w:r>
          </w:p>
        </w:tc>
        <w:tc>
          <w:tcPr>
            <w:tcW w:w="1072" w:type="dxa"/>
            <w:tcBorders>
              <w:top w:val="single" w:sz="4" w:space="0" w:color="FFFFFF" w:themeColor="background1"/>
            </w:tcBorders>
            <w:shd w:val="clear" w:color="auto" w:fill="auto"/>
            <w:vAlign w:val="center"/>
          </w:tcPr>
          <w:p w14:paraId="37EB4FD7" w14:textId="77777777" w:rsidR="00F61C11" w:rsidRPr="00F61C11" w:rsidRDefault="00F61C11" w:rsidP="002A1E7C">
            <w:pPr>
              <w:jc w:val="center"/>
              <w:rPr>
                <w:sz w:val="18"/>
                <w:szCs w:val="18"/>
              </w:rPr>
            </w:pPr>
            <w:r w:rsidRPr="00F61C11">
              <w:rPr>
                <w:sz w:val="18"/>
                <w:szCs w:val="18"/>
              </w:rPr>
              <w:t>44.07</w:t>
            </w:r>
          </w:p>
        </w:tc>
        <w:tc>
          <w:tcPr>
            <w:tcW w:w="950" w:type="dxa"/>
            <w:tcBorders>
              <w:top w:val="single" w:sz="4" w:space="0" w:color="FFFFFF" w:themeColor="background1"/>
            </w:tcBorders>
          </w:tcPr>
          <w:p w14:paraId="5962A9AB" w14:textId="77777777" w:rsidR="00F61C11" w:rsidRPr="00F61C11" w:rsidRDefault="00F61C11" w:rsidP="002A1E7C">
            <w:pPr>
              <w:jc w:val="center"/>
              <w:rPr>
                <w:sz w:val="18"/>
                <w:szCs w:val="18"/>
              </w:rPr>
            </w:pPr>
            <w:r w:rsidRPr="00F61C11">
              <w:rPr>
                <w:sz w:val="18"/>
                <w:szCs w:val="18"/>
              </w:rPr>
              <w:t>34.52</w:t>
            </w:r>
          </w:p>
        </w:tc>
        <w:tc>
          <w:tcPr>
            <w:tcW w:w="928" w:type="dxa"/>
            <w:tcBorders>
              <w:top w:val="single" w:sz="4" w:space="0" w:color="FFFFFF" w:themeColor="background1"/>
            </w:tcBorders>
          </w:tcPr>
          <w:p w14:paraId="3913F8A9" w14:textId="77777777" w:rsidR="00F61C11" w:rsidRPr="00F61C11" w:rsidRDefault="00F61C11" w:rsidP="002A1E7C">
            <w:pPr>
              <w:jc w:val="center"/>
              <w:rPr>
                <w:sz w:val="18"/>
                <w:szCs w:val="18"/>
              </w:rPr>
            </w:pPr>
            <w:r w:rsidRPr="00F61C11">
              <w:rPr>
                <w:sz w:val="18"/>
                <w:szCs w:val="18"/>
              </w:rPr>
              <w:t>21.41</w:t>
            </w:r>
          </w:p>
        </w:tc>
        <w:tc>
          <w:tcPr>
            <w:tcW w:w="1170" w:type="dxa"/>
            <w:tcBorders>
              <w:top w:val="single" w:sz="4" w:space="0" w:color="FFFFFF" w:themeColor="background1"/>
            </w:tcBorders>
            <w:vAlign w:val="center"/>
          </w:tcPr>
          <w:p w14:paraId="4E3748AE" w14:textId="77777777" w:rsidR="00F61C11" w:rsidRPr="00F61C11" w:rsidRDefault="00F61C11" w:rsidP="002A1E7C">
            <w:pPr>
              <w:jc w:val="center"/>
              <w:rPr>
                <w:sz w:val="18"/>
                <w:szCs w:val="18"/>
              </w:rPr>
            </w:pPr>
            <w:r w:rsidRPr="00F61C11">
              <w:rPr>
                <w:sz w:val="18"/>
                <w:szCs w:val="18"/>
              </w:rPr>
              <w:t>1.4124</w:t>
            </w:r>
          </w:p>
        </w:tc>
        <w:tc>
          <w:tcPr>
            <w:tcW w:w="1792" w:type="dxa"/>
            <w:tcBorders>
              <w:top w:val="single" w:sz="4" w:space="0" w:color="FFFFFF" w:themeColor="background1"/>
            </w:tcBorders>
            <w:vAlign w:val="center"/>
          </w:tcPr>
          <w:p w14:paraId="39EC1A85" w14:textId="77777777" w:rsidR="00F61C11" w:rsidRPr="00F61C11" w:rsidRDefault="00F61C11" w:rsidP="002A1E7C">
            <w:pPr>
              <w:jc w:val="center"/>
              <w:rPr>
                <w:sz w:val="18"/>
                <w:szCs w:val="18"/>
              </w:rPr>
            </w:pPr>
            <w:r w:rsidRPr="00F61C11">
              <w:rPr>
                <w:sz w:val="18"/>
                <w:szCs w:val="18"/>
              </w:rPr>
              <w:t>4.184E-3</w:t>
            </w:r>
          </w:p>
        </w:tc>
        <w:tc>
          <w:tcPr>
            <w:tcW w:w="887" w:type="dxa"/>
            <w:tcBorders>
              <w:top w:val="single" w:sz="4" w:space="0" w:color="FFFFFF" w:themeColor="background1"/>
            </w:tcBorders>
            <w:vAlign w:val="center"/>
          </w:tcPr>
          <w:p w14:paraId="31C23BF4" w14:textId="77777777" w:rsidR="00F61C11" w:rsidRPr="00F61C11" w:rsidRDefault="00F61C11" w:rsidP="002A1E7C">
            <w:pPr>
              <w:jc w:val="center"/>
              <w:rPr>
                <w:sz w:val="18"/>
                <w:szCs w:val="18"/>
              </w:rPr>
            </w:pPr>
            <w:r w:rsidRPr="00F61C11">
              <w:rPr>
                <w:sz w:val="18"/>
                <w:szCs w:val="18"/>
              </w:rPr>
              <w:t>1114</w:t>
            </w:r>
          </w:p>
        </w:tc>
      </w:tr>
      <w:tr w:rsidR="00F61C11" w:rsidRPr="00F61C11" w14:paraId="6F11758A" w14:textId="77777777" w:rsidTr="00F61C11">
        <w:tc>
          <w:tcPr>
            <w:tcW w:w="1081" w:type="dxa"/>
            <w:vMerge/>
            <w:tcBorders>
              <w:bottom w:val="single" w:sz="4" w:space="0" w:color="FFFFFF" w:themeColor="background1"/>
            </w:tcBorders>
            <w:shd w:val="clear" w:color="auto" w:fill="auto"/>
            <w:vAlign w:val="center"/>
          </w:tcPr>
          <w:p w14:paraId="4EB5ABA8" w14:textId="77777777" w:rsidR="00F61C11" w:rsidRPr="00F61C11" w:rsidRDefault="00F61C11" w:rsidP="002A1E7C">
            <w:pPr>
              <w:rPr>
                <w:sz w:val="18"/>
                <w:szCs w:val="18"/>
              </w:rPr>
            </w:pPr>
          </w:p>
        </w:tc>
        <w:tc>
          <w:tcPr>
            <w:tcW w:w="928" w:type="dxa"/>
            <w:tcBorders>
              <w:bottom w:val="single" w:sz="4" w:space="0" w:color="FFFFFF" w:themeColor="background1"/>
            </w:tcBorders>
            <w:shd w:val="clear" w:color="auto" w:fill="auto"/>
          </w:tcPr>
          <w:p w14:paraId="2A872340" w14:textId="77777777" w:rsidR="00F61C11" w:rsidRPr="00F61C11" w:rsidRDefault="00F61C11" w:rsidP="002A1E7C">
            <w:pPr>
              <w:jc w:val="center"/>
              <w:rPr>
                <w:sz w:val="18"/>
                <w:szCs w:val="18"/>
              </w:rPr>
            </w:pPr>
            <w:proofErr w:type="spellStart"/>
            <w:r w:rsidRPr="00F61C11">
              <w:rPr>
                <w:sz w:val="18"/>
                <w:szCs w:val="18"/>
              </w:rPr>
              <w:t>NaI</w:t>
            </w:r>
            <w:proofErr w:type="spellEnd"/>
          </w:p>
        </w:tc>
        <w:tc>
          <w:tcPr>
            <w:tcW w:w="1072" w:type="dxa"/>
            <w:tcBorders>
              <w:bottom w:val="single" w:sz="4" w:space="0" w:color="FFFFFF" w:themeColor="background1"/>
            </w:tcBorders>
            <w:shd w:val="clear" w:color="auto" w:fill="auto"/>
            <w:vAlign w:val="center"/>
          </w:tcPr>
          <w:p w14:paraId="1D601236" w14:textId="77777777" w:rsidR="00F61C11" w:rsidRPr="00F61C11" w:rsidRDefault="00F61C11" w:rsidP="002A1E7C">
            <w:pPr>
              <w:jc w:val="center"/>
              <w:rPr>
                <w:sz w:val="18"/>
                <w:szCs w:val="18"/>
              </w:rPr>
            </w:pPr>
            <w:r w:rsidRPr="00F61C11">
              <w:rPr>
                <w:sz w:val="18"/>
                <w:szCs w:val="18"/>
              </w:rPr>
              <w:t>44.07</w:t>
            </w:r>
          </w:p>
        </w:tc>
        <w:tc>
          <w:tcPr>
            <w:tcW w:w="950" w:type="dxa"/>
            <w:tcBorders>
              <w:bottom w:val="single" w:sz="4" w:space="0" w:color="FFFFFF" w:themeColor="background1"/>
            </w:tcBorders>
          </w:tcPr>
          <w:p w14:paraId="09A771CB" w14:textId="77777777" w:rsidR="00F61C11" w:rsidRPr="00F61C11" w:rsidRDefault="00F61C11" w:rsidP="002A1E7C">
            <w:pPr>
              <w:jc w:val="center"/>
              <w:rPr>
                <w:sz w:val="18"/>
                <w:szCs w:val="18"/>
              </w:rPr>
            </w:pPr>
            <w:r w:rsidRPr="00F61C11">
              <w:rPr>
                <w:sz w:val="18"/>
                <w:szCs w:val="18"/>
              </w:rPr>
              <w:t>34.52</w:t>
            </w:r>
          </w:p>
        </w:tc>
        <w:tc>
          <w:tcPr>
            <w:tcW w:w="928" w:type="dxa"/>
            <w:tcBorders>
              <w:bottom w:val="single" w:sz="4" w:space="0" w:color="FFFFFF" w:themeColor="background1"/>
            </w:tcBorders>
          </w:tcPr>
          <w:p w14:paraId="77C539DB" w14:textId="77777777" w:rsidR="00F61C11" w:rsidRPr="00F61C11" w:rsidRDefault="00F61C11" w:rsidP="002A1E7C">
            <w:pPr>
              <w:jc w:val="center"/>
              <w:rPr>
                <w:sz w:val="18"/>
                <w:szCs w:val="18"/>
              </w:rPr>
            </w:pPr>
            <w:r w:rsidRPr="00F61C11">
              <w:rPr>
                <w:sz w:val="18"/>
                <w:szCs w:val="18"/>
              </w:rPr>
              <w:t>21.41</w:t>
            </w:r>
          </w:p>
        </w:tc>
        <w:tc>
          <w:tcPr>
            <w:tcW w:w="1170" w:type="dxa"/>
            <w:tcBorders>
              <w:bottom w:val="single" w:sz="4" w:space="0" w:color="FFFFFF" w:themeColor="background1"/>
            </w:tcBorders>
            <w:vAlign w:val="center"/>
          </w:tcPr>
          <w:p w14:paraId="644980D7" w14:textId="77777777" w:rsidR="00F61C11" w:rsidRPr="00F61C11" w:rsidRDefault="00F61C11" w:rsidP="002A1E7C">
            <w:pPr>
              <w:jc w:val="center"/>
              <w:rPr>
                <w:sz w:val="18"/>
                <w:szCs w:val="18"/>
              </w:rPr>
            </w:pPr>
            <w:r w:rsidRPr="00F61C11">
              <w:rPr>
                <w:sz w:val="18"/>
                <w:szCs w:val="18"/>
              </w:rPr>
              <w:t>1.4143</w:t>
            </w:r>
          </w:p>
        </w:tc>
        <w:tc>
          <w:tcPr>
            <w:tcW w:w="1792" w:type="dxa"/>
            <w:tcBorders>
              <w:bottom w:val="single" w:sz="4" w:space="0" w:color="FFFFFF" w:themeColor="background1"/>
            </w:tcBorders>
            <w:vAlign w:val="center"/>
          </w:tcPr>
          <w:p w14:paraId="72E0A2BA" w14:textId="77777777" w:rsidR="00F61C11" w:rsidRPr="00F61C11" w:rsidRDefault="00F61C11" w:rsidP="002A1E7C">
            <w:pPr>
              <w:jc w:val="center"/>
              <w:rPr>
                <w:sz w:val="18"/>
                <w:szCs w:val="18"/>
              </w:rPr>
            </w:pPr>
            <w:r w:rsidRPr="00F61C11">
              <w:rPr>
                <w:sz w:val="18"/>
                <w:szCs w:val="18"/>
              </w:rPr>
              <w:t>3.898E-3</w:t>
            </w:r>
          </w:p>
        </w:tc>
        <w:tc>
          <w:tcPr>
            <w:tcW w:w="887" w:type="dxa"/>
            <w:tcBorders>
              <w:bottom w:val="single" w:sz="4" w:space="0" w:color="FFFFFF" w:themeColor="background1"/>
            </w:tcBorders>
            <w:vAlign w:val="center"/>
          </w:tcPr>
          <w:p w14:paraId="2ECFA59E" w14:textId="77777777" w:rsidR="00F61C11" w:rsidRPr="00F61C11" w:rsidRDefault="00F61C11" w:rsidP="002A1E7C">
            <w:pPr>
              <w:jc w:val="center"/>
              <w:rPr>
                <w:sz w:val="18"/>
                <w:szCs w:val="18"/>
              </w:rPr>
            </w:pPr>
            <w:r w:rsidRPr="00F61C11">
              <w:rPr>
                <w:sz w:val="18"/>
                <w:szCs w:val="18"/>
              </w:rPr>
              <w:t>1221</w:t>
            </w:r>
          </w:p>
        </w:tc>
      </w:tr>
      <w:tr w:rsidR="00F61C11" w:rsidRPr="00F61C11" w14:paraId="419FDB31" w14:textId="77777777" w:rsidTr="00F61C11">
        <w:tc>
          <w:tcPr>
            <w:tcW w:w="1081" w:type="dxa"/>
            <w:vMerge w:val="restart"/>
            <w:tcBorders>
              <w:top w:val="single" w:sz="4" w:space="0" w:color="FFFFFF" w:themeColor="background1"/>
            </w:tcBorders>
            <w:shd w:val="clear" w:color="auto" w:fill="auto"/>
            <w:vAlign w:val="center"/>
          </w:tcPr>
          <w:p w14:paraId="0BD7127E" w14:textId="77777777" w:rsidR="00F61C11" w:rsidRPr="00F61C11" w:rsidRDefault="00F61C11" w:rsidP="002A1E7C">
            <w:pPr>
              <w:rPr>
                <w:sz w:val="18"/>
                <w:szCs w:val="18"/>
              </w:rPr>
            </w:pPr>
            <w:r w:rsidRPr="00F61C11">
              <w:rPr>
                <w:sz w:val="18"/>
                <w:szCs w:val="18"/>
              </w:rPr>
              <w:t>HIGH</w:t>
            </w:r>
          </w:p>
        </w:tc>
        <w:tc>
          <w:tcPr>
            <w:tcW w:w="928" w:type="dxa"/>
            <w:tcBorders>
              <w:top w:val="single" w:sz="4" w:space="0" w:color="FFFFFF" w:themeColor="background1"/>
            </w:tcBorders>
            <w:shd w:val="clear" w:color="auto" w:fill="auto"/>
          </w:tcPr>
          <w:p w14:paraId="54ED19DA" w14:textId="77777777" w:rsidR="00F61C11" w:rsidRPr="00F61C11" w:rsidRDefault="00F61C11" w:rsidP="002A1E7C">
            <w:pPr>
              <w:jc w:val="center"/>
              <w:rPr>
                <w:sz w:val="18"/>
                <w:szCs w:val="18"/>
              </w:rPr>
            </w:pPr>
            <w:r w:rsidRPr="00F61C11">
              <w:rPr>
                <w:sz w:val="18"/>
                <w:szCs w:val="18"/>
              </w:rPr>
              <w:t>Urea</w:t>
            </w:r>
          </w:p>
        </w:tc>
        <w:tc>
          <w:tcPr>
            <w:tcW w:w="1072" w:type="dxa"/>
            <w:tcBorders>
              <w:top w:val="single" w:sz="4" w:space="0" w:color="FFFFFF" w:themeColor="background1"/>
            </w:tcBorders>
            <w:shd w:val="clear" w:color="auto" w:fill="auto"/>
            <w:vAlign w:val="center"/>
          </w:tcPr>
          <w:p w14:paraId="2705B53C" w14:textId="77777777" w:rsidR="00F61C11" w:rsidRPr="00F61C11" w:rsidRDefault="00F61C11" w:rsidP="002A1E7C">
            <w:pPr>
              <w:jc w:val="center"/>
              <w:rPr>
                <w:sz w:val="18"/>
                <w:szCs w:val="18"/>
              </w:rPr>
            </w:pPr>
            <w:r w:rsidRPr="00F61C11">
              <w:rPr>
                <w:sz w:val="18"/>
                <w:szCs w:val="18"/>
              </w:rPr>
              <w:t>43.21</w:t>
            </w:r>
          </w:p>
        </w:tc>
        <w:tc>
          <w:tcPr>
            <w:tcW w:w="950" w:type="dxa"/>
            <w:tcBorders>
              <w:top w:val="single" w:sz="4" w:space="0" w:color="FFFFFF" w:themeColor="background1"/>
            </w:tcBorders>
          </w:tcPr>
          <w:p w14:paraId="21068E00" w14:textId="77777777" w:rsidR="00F61C11" w:rsidRPr="00F61C11" w:rsidRDefault="00F61C11" w:rsidP="002A1E7C">
            <w:pPr>
              <w:jc w:val="center"/>
              <w:rPr>
                <w:sz w:val="18"/>
                <w:szCs w:val="18"/>
              </w:rPr>
            </w:pPr>
            <w:r w:rsidRPr="00F61C11">
              <w:rPr>
                <w:sz w:val="18"/>
                <w:szCs w:val="18"/>
              </w:rPr>
              <w:t>39.96</w:t>
            </w:r>
          </w:p>
        </w:tc>
        <w:tc>
          <w:tcPr>
            <w:tcW w:w="928" w:type="dxa"/>
            <w:tcBorders>
              <w:top w:val="single" w:sz="4" w:space="0" w:color="FFFFFF" w:themeColor="background1"/>
            </w:tcBorders>
          </w:tcPr>
          <w:p w14:paraId="13824941" w14:textId="77777777" w:rsidR="00F61C11" w:rsidRPr="00F61C11" w:rsidRDefault="00F61C11" w:rsidP="002A1E7C">
            <w:pPr>
              <w:jc w:val="center"/>
              <w:rPr>
                <w:sz w:val="18"/>
                <w:szCs w:val="18"/>
              </w:rPr>
            </w:pPr>
            <w:r w:rsidRPr="00F61C11">
              <w:rPr>
                <w:sz w:val="18"/>
                <w:szCs w:val="18"/>
              </w:rPr>
              <w:t>16.83</w:t>
            </w:r>
          </w:p>
        </w:tc>
        <w:tc>
          <w:tcPr>
            <w:tcW w:w="1170" w:type="dxa"/>
            <w:tcBorders>
              <w:top w:val="single" w:sz="4" w:space="0" w:color="FFFFFF" w:themeColor="background1"/>
            </w:tcBorders>
            <w:vAlign w:val="center"/>
          </w:tcPr>
          <w:p w14:paraId="0840FF62" w14:textId="77777777" w:rsidR="00F61C11" w:rsidRPr="00F61C11" w:rsidRDefault="00F61C11" w:rsidP="002A1E7C">
            <w:pPr>
              <w:jc w:val="center"/>
              <w:rPr>
                <w:sz w:val="18"/>
                <w:szCs w:val="18"/>
              </w:rPr>
            </w:pPr>
            <w:r w:rsidRPr="00F61C11">
              <w:rPr>
                <w:sz w:val="18"/>
                <w:szCs w:val="18"/>
              </w:rPr>
              <w:t>1.4132</w:t>
            </w:r>
          </w:p>
        </w:tc>
        <w:tc>
          <w:tcPr>
            <w:tcW w:w="1792" w:type="dxa"/>
            <w:tcBorders>
              <w:top w:val="single" w:sz="4" w:space="0" w:color="FFFFFF" w:themeColor="background1"/>
            </w:tcBorders>
            <w:vAlign w:val="center"/>
          </w:tcPr>
          <w:p w14:paraId="409211FE" w14:textId="77777777" w:rsidR="00F61C11" w:rsidRPr="00F61C11" w:rsidRDefault="00F61C11" w:rsidP="002A1E7C">
            <w:pPr>
              <w:jc w:val="center"/>
              <w:rPr>
                <w:sz w:val="18"/>
                <w:szCs w:val="18"/>
              </w:rPr>
            </w:pPr>
            <w:r w:rsidRPr="00F61C11">
              <w:rPr>
                <w:sz w:val="18"/>
                <w:szCs w:val="18"/>
              </w:rPr>
              <w:t>5.178E-3</w:t>
            </w:r>
          </w:p>
        </w:tc>
        <w:tc>
          <w:tcPr>
            <w:tcW w:w="887" w:type="dxa"/>
            <w:tcBorders>
              <w:top w:val="single" w:sz="4" w:space="0" w:color="FFFFFF" w:themeColor="background1"/>
            </w:tcBorders>
            <w:vAlign w:val="center"/>
          </w:tcPr>
          <w:p w14:paraId="3EC90A60" w14:textId="77777777" w:rsidR="00F61C11" w:rsidRPr="00F61C11" w:rsidRDefault="00F61C11" w:rsidP="002A1E7C">
            <w:pPr>
              <w:jc w:val="center"/>
              <w:rPr>
                <w:sz w:val="18"/>
                <w:szCs w:val="18"/>
              </w:rPr>
            </w:pPr>
            <w:r w:rsidRPr="00F61C11">
              <w:rPr>
                <w:sz w:val="18"/>
                <w:szCs w:val="18"/>
              </w:rPr>
              <w:t>1141</w:t>
            </w:r>
          </w:p>
        </w:tc>
      </w:tr>
      <w:tr w:rsidR="00F61C11" w:rsidRPr="00F61C11" w14:paraId="6A2D31AF" w14:textId="77777777" w:rsidTr="00F61C11">
        <w:trPr>
          <w:trHeight w:val="100"/>
        </w:trPr>
        <w:tc>
          <w:tcPr>
            <w:tcW w:w="1081" w:type="dxa"/>
            <w:vMerge/>
            <w:tcBorders>
              <w:bottom w:val="single" w:sz="4" w:space="0" w:color="auto"/>
            </w:tcBorders>
            <w:shd w:val="clear" w:color="auto" w:fill="auto"/>
          </w:tcPr>
          <w:p w14:paraId="2CA8CA3B" w14:textId="77777777" w:rsidR="00F61C11" w:rsidRPr="00F61C11" w:rsidRDefault="00F61C11" w:rsidP="002A1E7C">
            <w:pPr>
              <w:rPr>
                <w:sz w:val="18"/>
                <w:szCs w:val="18"/>
              </w:rPr>
            </w:pPr>
          </w:p>
        </w:tc>
        <w:tc>
          <w:tcPr>
            <w:tcW w:w="928" w:type="dxa"/>
            <w:tcBorders>
              <w:bottom w:val="single" w:sz="4" w:space="0" w:color="auto"/>
            </w:tcBorders>
            <w:shd w:val="clear" w:color="auto" w:fill="auto"/>
          </w:tcPr>
          <w:p w14:paraId="626314B2" w14:textId="77777777" w:rsidR="00F61C11" w:rsidRPr="00F61C11" w:rsidRDefault="00F61C11" w:rsidP="002A1E7C">
            <w:pPr>
              <w:jc w:val="center"/>
              <w:rPr>
                <w:sz w:val="18"/>
                <w:szCs w:val="18"/>
              </w:rPr>
            </w:pPr>
            <w:proofErr w:type="spellStart"/>
            <w:r w:rsidRPr="00F61C11">
              <w:rPr>
                <w:sz w:val="18"/>
                <w:szCs w:val="18"/>
              </w:rPr>
              <w:t>NaI</w:t>
            </w:r>
            <w:proofErr w:type="spellEnd"/>
          </w:p>
        </w:tc>
        <w:tc>
          <w:tcPr>
            <w:tcW w:w="1072" w:type="dxa"/>
            <w:tcBorders>
              <w:bottom w:val="single" w:sz="4" w:space="0" w:color="auto"/>
            </w:tcBorders>
            <w:shd w:val="clear" w:color="auto" w:fill="auto"/>
            <w:vAlign w:val="center"/>
          </w:tcPr>
          <w:p w14:paraId="0E1DD3A6" w14:textId="77777777" w:rsidR="00F61C11" w:rsidRPr="00F61C11" w:rsidRDefault="00F61C11" w:rsidP="002A1E7C">
            <w:pPr>
              <w:jc w:val="center"/>
              <w:rPr>
                <w:sz w:val="18"/>
                <w:szCs w:val="18"/>
              </w:rPr>
            </w:pPr>
            <w:r w:rsidRPr="00F61C11">
              <w:rPr>
                <w:sz w:val="18"/>
                <w:szCs w:val="18"/>
              </w:rPr>
              <w:t>43.21</w:t>
            </w:r>
          </w:p>
        </w:tc>
        <w:tc>
          <w:tcPr>
            <w:tcW w:w="950" w:type="dxa"/>
            <w:tcBorders>
              <w:bottom w:val="single" w:sz="4" w:space="0" w:color="auto"/>
            </w:tcBorders>
          </w:tcPr>
          <w:p w14:paraId="294D38C2" w14:textId="77777777" w:rsidR="00F61C11" w:rsidRPr="00F61C11" w:rsidRDefault="00F61C11" w:rsidP="002A1E7C">
            <w:pPr>
              <w:jc w:val="center"/>
              <w:rPr>
                <w:sz w:val="18"/>
                <w:szCs w:val="18"/>
              </w:rPr>
            </w:pPr>
            <w:r w:rsidRPr="00F61C11">
              <w:rPr>
                <w:sz w:val="18"/>
                <w:szCs w:val="18"/>
              </w:rPr>
              <w:t>39.96</w:t>
            </w:r>
          </w:p>
        </w:tc>
        <w:tc>
          <w:tcPr>
            <w:tcW w:w="928" w:type="dxa"/>
            <w:tcBorders>
              <w:bottom w:val="single" w:sz="4" w:space="0" w:color="auto"/>
            </w:tcBorders>
          </w:tcPr>
          <w:p w14:paraId="12873FD3" w14:textId="77777777" w:rsidR="00F61C11" w:rsidRPr="00F61C11" w:rsidRDefault="00F61C11" w:rsidP="002A1E7C">
            <w:pPr>
              <w:jc w:val="center"/>
              <w:rPr>
                <w:sz w:val="18"/>
                <w:szCs w:val="18"/>
              </w:rPr>
            </w:pPr>
            <w:r w:rsidRPr="00F61C11">
              <w:rPr>
                <w:sz w:val="18"/>
                <w:szCs w:val="18"/>
              </w:rPr>
              <w:t>16.82</w:t>
            </w:r>
          </w:p>
        </w:tc>
        <w:tc>
          <w:tcPr>
            <w:tcW w:w="1170" w:type="dxa"/>
            <w:tcBorders>
              <w:bottom w:val="single" w:sz="4" w:space="0" w:color="auto"/>
            </w:tcBorders>
            <w:vAlign w:val="center"/>
          </w:tcPr>
          <w:p w14:paraId="69A830DB" w14:textId="77777777" w:rsidR="00F61C11" w:rsidRPr="00F61C11" w:rsidRDefault="00F61C11" w:rsidP="002A1E7C">
            <w:pPr>
              <w:jc w:val="center"/>
              <w:rPr>
                <w:sz w:val="18"/>
                <w:szCs w:val="18"/>
              </w:rPr>
            </w:pPr>
            <w:r w:rsidRPr="00F61C11">
              <w:rPr>
                <w:sz w:val="18"/>
                <w:szCs w:val="18"/>
              </w:rPr>
              <w:t>1.4131</w:t>
            </w:r>
          </w:p>
        </w:tc>
        <w:tc>
          <w:tcPr>
            <w:tcW w:w="1792" w:type="dxa"/>
            <w:tcBorders>
              <w:bottom w:val="single" w:sz="4" w:space="0" w:color="auto"/>
            </w:tcBorders>
            <w:vAlign w:val="center"/>
          </w:tcPr>
          <w:p w14:paraId="74672C07" w14:textId="77777777" w:rsidR="00F61C11" w:rsidRPr="00F61C11" w:rsidRDefault="00F61C11" w:rsidP="002A1E7C">
            <w:pPr>
              <w:jc w:val="center"/>
              <w:rPr>
                <w:sz w:val="18"/>
                <w:szCs w:val="18"/>
              </w:rPr>
            </w:pPr>
            <w:r w:rsidRPr="00F61C11">
              <w:rPr>
                <w:sz w:val="18"/>
                <w:szCs w:val="18"/>
              </w:rPr>
              <w:t>4.616E-3</w:t>
            </w:r>
          </w:p>
        </w:tc>
        <w:tc>
          <w:tcPr>
            <w:tcW w:w="887" w:type="dxa"/>
            <w:tcBorders>
              <w:bottom w:val="single" w:sz="4" w:space="0" w:color="auto"/>
            </w:tcBorders>
            <w:vAlign w:val="center"/>
          </w:tcPr>
          <w:p w14:paraId="35110D04" w14:textId="77777777" w:rsidR="00F61C11" w:rsidRPr="00F61C11" w:rsidRDefault="00F61C11" w:rsidP="002A1E7C">
            <w:pPr>
              <w:jc w:val="center"/>
              <w:rPr>
                <w:sz w:val="18"/>
                <w:szCs w:val="18"/>
              </w:rPr>
            </w:pPr>
            <w:r w:rsidRPr="00F61C11">
              <w:rPr>
                <w:sz w:val="18"/>
                <w:szCs w:val="18"/>
              </w:rPr>
              <w:t>1211</w:t>
            </w:r>
          </w:p>
        </w:tc>
      </w:tr>
    </w:tbl>
    <w:p w14:paraId="3C1C1562" w14:textId="77777777" w:rsidR="00F61C11" w:rsidRPr="00F61C11" w:rsidRDefault="00F61C11" w:rsidP="00F61C11">
      <w:pPr>
        <w:widowControl w:val="0"/>
        <w:ind w:left="480" w:right="540" w:hanging="480"/>
        <w:rPr>
          <w:rFonts w:cs="Arial"/>
          <w:noProof/>
          <w:sz w:val="18"/>
          <w:szCs w:val="18"/>
        </w:rPr>
      </w:pPr>
      <w:r w:rsidRPr="00F61C11">
        <w:rPr>
          <w:rFonts w:ascii="Calibri" w:hAnsi="Calibri" w:cs="Calibri"/>
          <w:sz w:val="18"/>
          <w:szCs w:val="18"/>
          <w:vertAlign w:val="superscript"/>
        </w:rPr>
        <w:t>1</w:t>
      </w:r>
      <w:r w:rsidRPr="00F61C11">
        <w:rPr>
          <w:rFonts w:ascii="Calibri" w:hAnsi="Calibri" w:cs="Calibri"/>
          <w:noProof/>
          <w:sz w:val="18"/>
          <w:szCs w:val="18"/>
        </w:rPr>
        <w:t xml:space="preserve"> </w:t>
      </w:r>
      <w:r w:rsidRPr="00F61C11">
        <w:rPr>
          <w:rFonts w:cs="Arial"/>
          <w:noProof/>
          <w:sz w:val="18"/>
          <w:szCs w:val="18"/>
        </w:rPr>
        <w:t>Mayer GA (1964) Blood Viscosity in Healthy Subjects and Patients With Coronary Heart Disease. Can Med Assoc J 91:951–4.</w:t>
      </w:r>
    </w:p>
    <w:p w14:paraId="33C5BA0D" w14:textId="0504E33F" w:rsidR="00B32229" w:rsidRDefault="00F61C11" w:rsidP="00F61C11">
      <w:pPr>
        <w:widowControl w:val="0"/>
        <w:ind w:left="480" w:right="540" w:hanging="480"/>
        <w:rPr>
          <w:rFonts w:cs="Arial"/>
          <w:noProof/>
          <w:sz w:val="18"/>
          <w:szCs w:val="18"/>
        </w:rPr>
      </w:pPr>
      <w:r w:rsidRPr="00F61C11">
        <w:rPr>
          <w:rFonts w:cs="Arial"/>
          <w:sz w:val="18"/>
          <w:szCs w:val="18"/>
          <w:vertAlign w:val="superscript"/>
        </w:rPr>
        <w:t>2</w:t>
      </w:r>
      <w:r w:rsidRPr="00F61C11">
        <w:rPr>
          <w:rFonts w:cs="Arial"/>
          <w:noProof/>
          <w:sz w:val="18"/>
          <w:szCs w:val="18"/>
        </w:rPr>
        <w:t xml:space="preserve"> Yousif MY, Holdsworth DW, Poepping TL (2011) A blood-mimicking fluid for particle image velocimetry with silicone vascular models. Exp Fluids 50:769–774. doi: 10.1007/s00348-010-0958-1</w:t>
      </w:r>
    </w:p>
    <w:p w14:paraId="620202C7" w14:textId="6BEC8C8C" w:rsidR="009E36D2" w:rsidRPr="009E36D2" w:rsidRDefault="009E36D2" w:rsidP="00F61C11">
      <w:pPr>
        <w:widowControl w:val="0"/>
        <w:ind w:left="480" w:right="540" w:hanging="480"/>
        <w:rPr>
          <w:rFonts w:cs="Arial"/>
          <w:noProof/>
          <w:sz w:val="18"/>
          <w:szCs w:val="18"/>
        </w:rPr>
      </w:pPr>
      <w:r>
        <w:rPr>
          <w:rFonts w:cs="Arial"/>
          <w:noProof/>
          <w:sz w:val="18"/>
          <w:szCs w:val="18"/>
          <w:vertAlign w:val="superscript"/>
        </w:rPr>
        <w:t>*</w:t>
      </w:r>
      <w:r>
        <w:rPr>
          <w:rFonts w:cs="Arial"/>
          <w:noProof/>
          <w:sz w:val="18"/>
          <w:szCs w:val="18"/>
        </w:rPr>
        <w:t xml:space="preserve">Density uncertainty was </w:t>
      </w:r>
      <w:r w:rsidR="00A158EA">
        <w:rPr>
          <w:rFonts w:cs="Arial"/>
          <w:noProof/>
          <w:sz w:val="18"/>
          <w:szCs w:val="18"/>
        </w:rPr>
        <w:t>0.61</w:t>
      </w:r>
      <w:r>
        <w:rPr>
          <w:rFonts w:cs="Arial"/>
          <w:noProof/>
          <w:sz w:val="18"/>
          <w:szCs w:val="18"/>
        </w:rPr>
        <w:t xml:space="preserve">% or less for all reported values. </w:t>
      </w:r>
    </w:p>
    <w:p w14:paraId="437F57E5" w14:textId="77777777" w:rsidR="00EC7BDE" w:rsidRDefault="00EC7BDE" w:rsidP="0043782E">
      <w:pPr>
        <w:rPr>
          <w:rFonts w:cs="Arial"/>
          <w:szCs w:val="24"/>
        </w:rPr>
      </w:pPr>
    </w:p>
    <w:p w14:paraId="075BB780" w14:textId="2F871F82" w:rsidR="00EC7BDE" w:rsidRDefault="00666A77" w:rsidP="009E36D2">
      <w:pPr>
        <w:ind w:firstLine="480"/>
        <w:rPr>
          <w:rFonts w:cs="Arial"/>
          <w:szCs w:val="24"/>
        </w:rPr>
      </w:pPr>
      <w:r>
        <w:rPr>
          <w:rFonts w:cs="Arial"/>
          <w:szCs w:val="24"/>
        </w:rPr>
        <w:t>Although xylitol increased viscosity too much to be used in a water-glycerol-xylitol solution, it can instead replace glycerol in three-component Newtonian solutions. Because of the oily nature of glycerol, it can be difficult to handle and leav</w:t>
      </w:r>
      <w:r w:rsidR="005B32BF">
        <w:rPr>
          <w:rFonts w:cs="Arial"/>
          <w:szCs w:val="24"/>
        </w:rPr>
        <w:t>es slippery residue when spilled</w:t>
      </w:r>
      <w:r>
        <w:rPr>
          <w:rFonts w:cs="Arial"/>
          <w:szCs w:val="24"/>
        </w:rPr>
        <w:t>. Conversely, xylitol is easy to handle, a common and safe product, and can be bough</w:t>
      </w:r>
      <w:r w:rsidR="0066573C">
        <w:rPr>
          <w:rFonts w:cs="Arial"/>
          <w:szCs w:val="24"/>
        </w:rPr>
        <w:t>t in a technical grade inexpensively</w:t>
      </w:r>
      <w:r>
        <w:rPr>
          <w:rFonts w:cs="Arial"/>
          <w:szCs w:val="24"/>
        </w:rPr>
        <w:t xml:space="preserve">. </w:t>
      </w:r>
      <w:r w:rsidR="00EC7BDE">
        <w:rPr>
          <w:rFonts w:cs="Arial"/>
          <w:szCs w:val="24"/>
        </w:rPr>
        <w:t xml:space="preserve">Table 3 </w:t>
      </w:r>
      <w:r w:rsidR="005B32BF">
        <w:rPr>
          <w:rFonts w:cs="Arial"/>
          <w:szCs w:val="24"/>
        </w:rPr>
        <w:t>provides fluid composition and properties for three water-xylitol-urea solutions. Table 3 confirms that water-xylitol-urea solutions can be used as a blood analog with PDMS.</w:t>
      </w:r>
    </w:p>
    <w:p w14:paraId="649B4BAA" w14:textId="77777777" w:rsidR="00EC7BDE" w:rsidRDefault="00EC7BDE" w:rsidP="0043782E">
      <w:pPr>
        <w:rPr>
          <w:rFonts w:cs="Arial"/>
          <w:szCs w:val="24"/>
        </w:rPr>
      </w:pPr>
    </w:p>
    <w:p w14:paraId="34B2B25E" w14:textId="77777777" w:rsidR="00EC7BDE" w:rsidRDefault="00EC7BDE" w:rsidP="0043782E">
      <w:pPr>
        <w:rPr>
          <w:rFonts w:cs="Arial"/>
          <w:szCs w:val="24"/>
        </w:rPr>
      </w:pPr>
      <w:r>
        <w:rPr>
          <w:rFonts w:cs="Arial"/>
          <w:b/>
          <w:szCs w:val="24"/>
        </w:rPr>
        <w:t xml:space="preserve">Table 3. </w:t>
      </w:r>
      <w:r>
        <w:rPr>
          <w:rFonts w:cs="Arial"/>
          <w:szCs w:val="24"/>
        </w:rPr>
        <w:t>Properties of water-xylitol-urea solutions.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1080"/>
        <w:gridCol w:w="900"/>
        <w:gridCol w:w="1440"/>
        <w:gridCol w:w="1170"/>
        <w:gridCol w:w="1620"/>
        <w:gridCol w:w="1350"/>
      </w:tblGrid>
      <w:tr w:rsidR="00F61C11" w14:paraId="6B6A9443" w14:textId="77777777" w:rsidTr="002A1E7C">
        <w:tc>
          <w:tcPr>
            <w:tcW w:w="1080" w:type="dxa"/>
            <w:tcBorders>
              <w:top w:val="single" w:sz="4" w:space="0" w:color="auto"/>
              <w:bottom w:val="single" w:sz="4" w:space="0" w:color="auto"/>
            </w:tcBorders>
            <w:vAlign w:val="center"/>
          </w:tcPr>
          <w:p w14:paraId="78D73515" w14:textId="77777777" w:rsidR="00F61C11" w:rsidRPr="00F61C11" w:rsidRDefault="00F61C11" w:rsidP="002A1E7C">
            <w:pPr>
              <w:jc w:val="center"/>
              <w:rPr>
                <w:sz w:val="18"/>
                <w:szCs w:val="18"/>
              </w:rPr>
            </w:pPr>
            <w:proofErr w:type="spellStart"/>
            <w:r w:rsidRPr="00F61C11">
              <w:rPr>
                <w:sz w:val="18"/>
                <w:szCs w:val="18"/>
              </w:rPr>
              <w:t>Wt</w:t>
            </w:r>
            <w:proofErr w:type="spellEnd"/>
            <w:r w:rsidRPr="00F61C11">
              <w:rPr>
                <w:sz w:val="18"/>
                <w:szCs w:val="18"/>
              </w:rPr>
              <w:t>% Water</w:t>
            </w:r>
          </w:p>
        </w:tc>
        <w:tc>
          <w:tcPr>
            <w:tcW w:w="1080" w:type="dxa"/>
            <w:tcBorders>
              <w:top w:val="single" w:sz="4" w:space="0" w:color="auto"/>
              <w:bottom w:val="single" w:sz="4" w:space="0" w:color="auto"/>
            </w:tcBorders>
            <w:vAlign w:val="center"/>
          </w:tcPr>
          <w:p w14:paraId="731C5452" w14:textId="75C2272B" w:rsidR="00F61C11" w:rsidRPr="00F61C11" w:rsidRDefault="002B270C" w:rsidP="002A1E7C">
            <w:pPr>
              <w:jc w:val="center"/>
              <w:rPr>
                <w:sz w:val="18"/>
                <w:szCs w:val="18"/>
              </w:rPr>
            </w:pPr>
            <w:proofErr w:type="spellStart"/>
            <w:r>
              <w:rPr>
                <w:sz w:val="18"/>
                <w:szCs w:val="18"/>
              </w:rPr>
              <w:t>Wt</w:t>
            </w:r>
            <w:proofErr w:type="spellEnd"/>
            <w:r>
              <w:rPr>
                <w:sz w:val="18"/>
                <w:szCs w:val="18"/>
              </w:rPr>
              <w:t>% Xyl</w:t>
            </w:r>
            <w:r w:rsidR="00F61C11" w:rsidRPr="00F61C11">
              <w:rPr>
                <w:sz w:val="18"/>
                <w:szCs w:val="18"/>
              </w:rPr>
              <w:t>i</w:t>
            </w:r>
            <w:r>
              <w:rPr>
                <w:sz w:val="18"/>
                <w:szCs w:val="18"/>
              </w:rPr>
              <w:t>t</w:t>
            </w:r>
            <w:r w:rsidR="00F61C11" w:rsidRPr="00F61C11">
              <w:rPr>
                <w:sz w:val="18"/>
                <w:szCs w:val="18"/>
              </w:rPr>
              <w:t>ol</w:t>
            </w:r>
          </w:p>
        </w:tc>
        <w:tc>
          <w:tcPr>
            <w:tcW w:w="900" w:type="dxa"/>
            <w:tcBorders>
              <w:top w:val="single" w:sz="4" w:space="0" w:color="auto"/>
              <w:bottom w:val="single" w:sz="4" w:space="0" w:color="auto"/>
            </w:tcBorders>
          </w:tcPr>
          <w:p w14:paraId="20DBCAFF" w14:textId="77777777" w:rsidR="00F61C11" w:rsidRPr="00F61C11" w:rsidRDefault="00F61C11" w:rsidP="002A1E7C">
            <w:pPr>
              <w:jc w:val="center"/>
              <w:rPr>
                <w:sz w:val="18"/>
                <w:szCs w:val="18"/>
              </w:rPr>
            </w:pPr>
            <w:proofErr w:type="spellStart"/>
            <w:r w:rsidRPr="00F61C11">
              <w:rPr>
                <w:sz w:val="18"/>
                <w:szCs w:val="18"/>
              </w:rPr>
              <w:t>Wt</w:t>
            </w:r>
            <w:proofErr w:type="spellEnd"/>
            <w:r w:rsidRPr="00F61C11">
              <w:rPr>
                <w:sz w:val="18"/>
                <w:szCs w:val="18"/>
              </w:rPr>
              <w:t>% Urea</w:t>
            </w:r>
          </w:p>
        </w:tc>
        <w:tc>
          <w:tcPr>
            <w:tcW w:w="1440" w:type="dxa"/>
            <w:tcBorders>
              <w:top w:val="single" w:sz="4" w:space="0" w:color="auto"/>
              <w:bottom w:val="single" w:sz="4" w:space="0" w:color="auto"/>
            </w:tcBorders>
          </w:tcPr>
          <w:p w14:paraId="2B076032" w14:textId="77777777" w:rsidR="00F61C11" w:rsidRPr="00F61C11" w:rsidRDefault="00F61C11" w:rsidP="002A1E7C">
            <w:pPr>
              <w:jc w:val="center"/>
              <w:rPr>
                <w:sz w:val="18"/>
                <w:szCs w:val="18"/>
              </w:rPr>
            </w:pPr>
            <w:proofErr w:type="spellStart"/>
            <w:r w:rsidRPr="00F61C11">
              <w:rPr>
                <w:sz w:val="18"/>
                <w:szCs w:val="18"/>
              </w:rPr>
              <w:t>Tempterature</w:t>
            </w:r>
            <w:proofErr w:type="spellEnd"/>
            <w:r w:rsidRPr="00F61C11">
              <w:rPr>
                <w:sz w:val="18"/>
                <w:szCs w:val="18"/>
              </w:rPr>
              <w:t xml:space="preserve"> (</w:t>
            </w:r>
            <w:proofErr w:type="spellStart"/>
            <w:r w:rsidRPr="00F61C11">
              <w:rPr>
                <w:sz w:val="18"/>
                <w:szCs w:val="18"/>
                <w:vertAlign w:val="superscript"/>
              </w:rPr>
              <w:t>o</w:t>
            </w:r>
            <w:r w:rsidRPr="00F61C11">
              <w:rPr>
                <w:sz w:val="18"/>
                <w:szCs w:val="18"/>
              </w:rPr>
              <w:t>C</w:t>
            </w:r>
            <w:proofErr w:type="spellEnd"/>
            <w:r w:rsidRPr="00F61C11">
              <w:rPr>
                <w:sz w:val="18"/>
                <w:szCs w:val="18"/>
              </w:rPr>
              <w:t>)</w:t>
            </w:r>
          </w:p>
        </w:tc>
        <w:tc>
          <w:tcPr>
            <w:tcW w:w="1170" w:type="dxa"/>
            <w:tcBorders>
              <w:top w:val="single" w:sz="4" w:space="0" w:color="auto"/>
              <w:bottom w:val="single" w:sz="4" w:space="0" w:color="auto"/>
            </w:tcBorders>
            <w:vAlign w:val="center"/>
          </w:tcPr>
          <w:p w14:paraId="5502238C" w14:textId="77777777" w:rsidR="00F61C11" w:rsidRPr="00F61C11" w:rsidRDefault="00F61C11" w:rsidP="002A1E7C">
            <w:pPr>
              <w:jc w:val="center"/>
              <w:rPr>
                <w:sz w:val="18"/>
                <w:szCs w:val="18"/>
              </w:rPr>
            </w:pPr>
            <w:r w:rsidRPr="00F61C11">
              <w:rPr>
                <w:sz w:val="18"/>
                <w:szCs w:val="18"/>
              </w:rPr>
              <w:t>Refractive Index</w:t>
            </w:r>
          </w:p>
        </w:tc>
        <w:tc>
          <w:tcPr>
            <w:tcW w:w="1620" w:type="dxa"/>
            <w:tcBorders>
              <w:top w:val="single" w:sz="4" w:space="0" w:color="auto"/>
              <w:bottom w:val="single" w:sz="4" w:space="0" w:color="auto"/>
            </w:tcBorders>
            <w:vAlign w:val="center"/>
          </w:tcPr>
          <w:p w14:paraId="4E1A9357" w14:textId="409E45EB" w:rsidR="00F61C11" w:rsidRPr="00F61C11" w:rsidRDefault="003F3A5F" w:rsidP="002A1E7C">
            <w:pPr>
              <w:jc w:val="center"/>
              <w:rPr>
                <w:sz w:val="18"/>
                <w:szCs w:val="18"/>
              </w:rPr>
            </w:pPr>
            <w:r>
              <w:rPr>
                <w:sz w:val="18"/>
                <w:szCs w:val="18"/>
              </w:rPr>
              <w:t>Viscosity (Pa-</w:t>
            </w:r>
            <w:r w:rsidR="00F61C11" w:rsidRPr="00F61C11">
              <w:rPr>
                <w:sz w:val="18"/>
                <w:szCs w:val="18"/>
              </w:rPr>
              <w:t xml:space="preserve">s) (23.6 </w:t>
            </w:r>
            <w:proofErr w:type="spellStart"/>
            <w:r w:rsidR="00F61C11" w:rsidRPr="00F61C11">
              <w:rPr>
                <w:sz w:val="18"/>
                <w:szCs w:val="18"/>
                <w:vertAlign w:val="superscript"/>
              </w:rPr>
              <w:t>o</w:t>
            </w:r>
            <w:r w:rsidR="00F61C11" w:rsidRPr="00F61C11">
              <w:rPr>
                <w:sz w:val="18"/>
                <w:szCs w:val="18"/>
              </w:rPr>
              <w:t>C</w:t>
            </w:r>
            <w:proofErr w:type="spellEnd"/>
            <w:r w:rsidR="00F61C11" w:rsidRPr="00F61C11">
              <w:rPr>
                <w:sz w:val="18"/>
                <w:szCs w:val="18"/>
              </w:rPr>
              <w:t>)</w:t>
            </w:r>
          </w:p>
        </w:tc>
        <w:tc>
          <w:tcPr>
            <w:tcW w:w="1350" w:type="dxa"/>
            <w:tcBorders>
              <w:top w:val="single" w:sz="4" w:space="0" w:color="auto"/>
              <w:bottom w:val="single" w:sz="4" w:space="0" w:color="auto"/>
            </w:tcBorders>
            <w:vAlign w:val="center"/>
          </w:tcPr>
          <w:p w14:paraId="6C935681" w14:textId="77777777" w:rsidR="00F61C11" w:rsidRPr="00F61C11" w:rsidRDefault="00F61C11" w:rsidP="002A1E7C">
            <w:pPr>
              <w:jc w:val="center"/>
              <w:rPr>
                <w:sz w:val="18"/>
                <w:szCs w:val="18"/>
              </w:rPr>
            </w:pPr>
            <w:r w:rsidRPr="00F61C11">
              <w:rPr>
                <w:sz w:val="18"/>
                <w:szCs w:val="18"/>
              </w:rPr>
              <w:t>Density (kg/m</w:t>
            </w:r>
            <w:r w:rsidRPr="00F61C11">
              <w:rPr>
                <w:sz w:val="18"/>
                <w:szCs w:val="18"/>
                <w:vertAlign w:val="superscript"/>
              </w:rPr>
              <w:t>3</w:t>
            </w:r>
            <w:r w:rsidRPr="00F61C11">
              <w:rPr>
                <w:sz w:val="18"/>
                <w:szCs w:val="18"/>
              </w:rPr>
              <w:t>)</w:t>
            </w:r>
          </w:p>
        </w:tc>
      </w:tr>
      <w:tr w:rsidR="00F61C11" w14:paraId="2C69A6DE" w14:textId="77777777" w:rsidTr="002A1E7C">
        <w:trPr>
          <w:trHeight w:val="134"/>
        </w:trPr>
        <w:tc>
          <w:tcPr>
            <w:tcW w:w="1080" w:type="dxa"/>
            <w:tcBorders>
              <w:top w:val="single" w:sz="4" w:space="0" w:color="auto"/>
              <w:bottom w:val="single" w:sz="4" w:space="0" w:color="FFFFFF" w:themeColor="background1"/>
            </w:tcBorders>
            <w:shd w:val="clear" w:color="auto" w:fill="auto"/>
            <w:vAlign w:val="center"/>
          </w:tcPr>
          <w:p w14:paraId="72C6C2DA" w14:textId="77777777" w:rsidR="00F61C11" w:rsidRPr="00F61C11" w:rsidRDefault="00F61C11" w:rsidP="002A1E7C">
            <w:pPr>
              <w:jc w:val="center"/>
              <w:rPr>
                <w:sz w:val="18"/>
                <w:szCs w:val="18"/>
              </w:rPr>
            </w:pPr>
            <w:r w:rsidRPr="00F61C11">
              <w:rPr>
                <w:sz w:val="18"/>
                <w:szCs w:val="18"/>
              </w:rPr>
              <w:t>50.6</w:t>
            </w:r>
          </w:p>
        </w:tc>
        <w:tc>
          <w:tcPr>
            <w:tcW w:w="1080" w:type="dxa"/>
            <w:tcBorders>
              <w:top w:val="single" w:sz="4" w:space="0" w:color="auto"/>
              <w:bottom w:val="single" w:sz="4" w:space="0" w:color="FFFFFF" w:themeColor="background1"/>
            </w:tcBorders>
            <w:shd w:val="clear" w:color="auto" w:fill="auto"/>
            <w:vAlign w:val="center"/>
          </w:tcPr>
          <w:p w14:paraId="4E2E106B" w14:textId="77777777" w:rsidR="00F61C11" w:rsidRPr="00F61C11" w:rsidRDefault="00F61C11" w:rsidP="002A1E7C">
            <w:pPr>
              <w:jc w:val="center"/>
              <w:rPr>
                <w:sz w:val="18"/>
                <w:szCs w:val="18"/>
              </w:rPr>
            </w:pPr>
            <w:r w:rsidRPr="00F61C11">
              <w:rPr>
                <w:sz w:val="18"/>
                <w:szCs w:val="18"/>
              </w:rPr>
              <w:t>20.0</w:t>
            </w:r>
          </w:p>
        </w:tc>
        <w:tc>
          <w:tcPr>
            <w:tcW w:w="900" w:type="dxa"/>
            <w:tcBorders>
              <w:top w:val="single" w:sz="4" w:space="0" w:color="auto"/>
              <w:bottom w:val="single" w:sz="4" w:space="0" w:color="FFFFFF" w:themeColor="background1"/>
            </w:tcBorders>
            <w:vAlign w:val="center"/>
          </w:tcPr>
          <w:p w14:paraId="5838B003" w14:textId="77777777" w:rsidR="00F61C11" w:rsidRPr="00F61C11" w:rsidRDefault="00F61C11" w:rsidP="002A1E7C">
            <w:pPr>
              <w:jc w:val="center"/>
              <w:rPr>
                <w:sz w:val="18"/>
                <w:szCs w:val="18"/>
              </w:rPr>
            </w:pPr>
            <w:r w:rsidRPr="00F61C11">
              <w:rPr>
                <w:sz w:val="18"/>
                <w:szCs w:val="18"/>
              </w:rPr>
              <w:t>29.4</w:t>
            </w:r>
          </w:p>
        </w:tc>
        <w:tc>
          <w:tcPr>
            <w:tcW w:w="1440" w:type="dxa"/>
            <w:tcBorders>
              <w:top w:val="single" w:sz="4" w:space="0" w:color="auto"/>
              <w:bottom w:val="single" w:sz="4" w:space="0" w:color="FFFFFF" w:themeColor="background1"/>
            </w:tcBorders>
            <w:vAlign w:val="center"/>
          </w:tcPr>
          <w:p w14:paraId="11C54673" w14:textId="77777777" w:rsidR="00F61C11" w:rsidRPr="00F61C11" w:rsidRDefault="00F61C11" w:rsidP="002A1E7C">
            <w:pPr>
              <w:jc w:val="center"/>
              <w:rPr>
                <w:sz w:val="18"/>
                <w:szCs w:val="18"/>
              </w:rPr>
            </w:pPr>
            <w:r w:rsidRPr="00F61C11">
              <w:rPr>
                <w:sz w:val="18"/>
                <w:szCs w:val="18"/>
              </w:rPr>
              <w:t>23.6</w:t>
            </w:r>
          </w:p>
        </w:tc>
        <w:tc>
          <w:tcPr>
            <w:tcW w:w="1170" w:type="dxa"/>
            <w:tcBorders>
              <w:top w:val="single" w:sz="4" w:space="0" w:color="auto"/>
              <w:bottom w:val="single" w:sz="4" w:space="0" w:color="FFFFFF" w:themeColor="background1"/>
            </w:tcBorders>
            <w:vAlign w:val="center"/>
          </w:tcPr>
          <w:p w14:paraId="582C57B5" w14:textId="77777777" w:rsidR="00F61C11" w:rsidRPr="00F61C11" w:rsidRDefault="00F61C11" w:rsidP="002A1E7C">
            <w:pPr>
              <w:jc w:val="center"/>
              <w:rPr>
                <w:sz w:val="18"/>
                <w:szCs w:val="18"/>
              </w:rPr>
            </w:pPr>
            <w:r w:rsidRPr="00F61C11">
              <w:rPr>
                <w:sz w:val="18"/>
                <w:szCs w:val="18"/>
              </w:rPr>
              <w:t>1.4118</w:t>
            </w:r>
          </w:p>
        </w:tc>
        <w:tc>
          <w:tcPr>
            <w:tcW w:w="1620" w:type="dxa"/>
            <w:tcBorders>
              <w:top w:val="single" w:sz="4" w:space="0" w:color="auto"/>
              <w:bottom w:val="single" w:sz="4" w:space="0" w:color="FFFFFF" w:themeColor="background1"/>
            </w:tcBorders>
            <w:vAlign w:val="center"/>
          </w:tcPr>
          <w:p w14:paraId="382DA1DB" w14:textId="77777777" w:rsidR="00F61C11" w:rsidRPr="00F61C11" w:rsidRDefault="00F61C11" w:rsidP="002A1E7C">
            <w:pPr>
              <w:jc w:val="center"/>
              <w:rPr>
                <w:rFonts w:cstheme="minorHAnsi"/>
                <w:sz w:val="18"/>
                <w:szCs w:val="18"/>
              </w:rPr>
            </w:pPr>
            <w:r w:rsidRPr="00F61C11">
              <w:rPr>
                <w:rFonts w:cstheme="minorHAnsi"/>
                <w:sz w:val="18"/>
                <w:szCs w:val="18"/>
              </w:rPr>
              <w:t>2.957E-3</w:t>
            </w:r>
          </w:p>
        </w:tc>
        <w:tc>
          <w:tcPr>
            <w:tcW w:w="1350" w:type="dxa"/>
            <w:tcBorders>
              <w:top w:val="single" w:sz="4" w:space="0" w:color="auto"/>
              <w:bottom w:val="single" w:sz="4" w:space="0" w:color="FFFFFF" w:themeColor="background1"/>
            </w:tcBorders>
            <w:vAlign w:val="center"/>
          </w:tcPr>
          <w:p w14:paraId="49A72600" w14:textId="77777777" w:rsidR="00F61C11" w:rsidRPr="00F61C11" w:rsidRDefault="00F61C11" w:rsidP="002A1E7C">
            <w:pPr>
              <w:jc w:val="center"/>
              <w:rPr>
                <w:sz w:val="18"/>
                <w:szCs w:val="18"/>
              </w:rPr>
            </w:pPr>
            <w:r w:rsidRPr="00F61C11">
              <w:rPr>
                <w:sz w:val="18"/>
                <w:szCs w:val="18"/>
              </w:rPr>
              <w:t>1154</w:t>
            </w:r>
          </w:p>
        </w:tc>
      </w:tr>
      <w:tr w:rsidR="00F61C11" w14:paraId="2EBAAFAD" w14:textId="77777777" w:rsidTr="002A1E7C">
        <w:trPr>
          <w:trHeight w:val="413"/>
        </w:trPr>
        <w:tc>
          <w:tcPr>
            <w:tcW w:w="1080" w:type="dxa"/>
            <w:tcBorders>
              <w:top w:val="single" w:sz="4" w:space="0" w:color="FFFFFF" w:themeColor="background1"/>
            </w:tcBorders>
            <w:shd w:val="clear" w:color="auto" w:fill="auto"/>
            <w:vAlign w:val="center"/>
          </w:tcPr>
          <w:p w14:paraId="6C335675" w14:textId="77777777" w:rsidR="00F61C11" w:rsidRPr="00F61C11" w:rsidRDefault="00F61C11" w:rsidP="002A1E7C">
            <w:pPr>
              <w:jc w:val="center"/>
              <w:rPr>
                <w:sz w:val="18"/>
                <w:szCs w:val="18"/>
              </w:rPr>
            </w:pPr>
            <w:r w:rsidRPr="00F61C11">
              <w:rPr>
                <w:sz w:val="18"/>
                <w:szCs w:val="18"/>
              </w:rPr>
              <w:t>50.7</w:t>
            </w:r>
          </w:p>
        </w:tc>
        <w:tc>
          <w:tcPr>
            <w:tcW w:w="1080" w:type="dxa"/>
            <w:tcBorders>
              <w:top w:val="single" w:sz="4" w:space="0" w:color="FFFFFF" w:themeColor="background1"/>
            </w:tcBorders>
            <w:shd w:val="clear" w:color="auto" w:fill="auto"/>
            <w:vAlign w:val="center"/>
          </w:tcPr>
          <w:p w14:paraId="0888AF1C" w14:textId="77777777" w:rsidR="00F61C11" w:rsidRPr="00F61C11" w:rsidRDefault="00F61C11" w:rsidP="002A1E7C">
            <w:pPr>
              <w:jc w:val="center"/>
              <w:rPr>
                <w:sz w:val="18"/>
                <w:szCs w:val="18"/>
              </w:rPr>
            </w:pPr>
            <w:r w:rsidRPr="00F61C11">
              <w:rPr>
                <w:sz w:val="18"/>
                <w:szCs w:val="18"/>
              </w:rPr>
              <w:t>25.3</w:t>
            </w:r>
          </w:p>
        </w:tc>
        <w:tc>
          <w:tcPr>
            <w:tcW w:w="900" w:type="dxa"/>
            <w:tcBorders>
              <w:top w:val="single" w:sz="4" w:space="0" w:color="FFFFFF" w:themeColor="background1"/>
            </w:tcBorders>
            <w:vAlign w:val="center"/>
          </w:tcPr>
          <w:p w14:paraId="7EB26829" w14:textId="77777777" w:rsidR="00F61C11" w:rsidRPr="00F61C11" w:rsidRDefault="00F61C11" w:rsidP="002A1E7C">
            <w:pPr>
              <w:jc w:val="center"/>
              <w:rPr>
                <w:sz w:val="18"/>
                <w:szCs w:val="18"/>
              </w:rPr>
            </w:pPr>
            <w:r w:rsidRPr="00F61C11">
              <w:rPr>
                <w:sz w:val="18"/>
                <w:szCs w:val="18"/>
              </w:rPr>
              <w:t>24.0</w:t>
            </w:r>
          </w:p>
        </w:tc>
        <w:tc>
          <w:tcPr>
            <w:tcW w:w="1440" w:type="dxa"/>
            <w:tcBorders>
              <w:top w:val="single" w:sz="4" w:space="0" w:color="FFFFFF" w:themeColor="background1"/>
            </w:tcBorders>
            <w:vAlign w:val="center"/>
          </w:tcPr>
          <w:p w14:paraId="1D52E66E" w14:textId="77777777" w:rsidR="00F61C11" w:rsidRPr="00F61C11" w:rsidRDefault="00F61C11" w:rsidP="002A1E7C">
            <w:pPr>
              <w:jc w:val="center"/>
              <w:rPr>
                <w:sz w:val="18"/>
                <w:szCs w:val="18"/>
              </w:rPr>
            </w:pPr>
            <w:r w:rsidRPr="00F61C11">
              <w:rPr>
                <w:sz w:val="18"/>
                <w:szCs w:val="18"/>
              </w:rPr>
              <w:t>22.4</w:t>
            </w:r>
          </w:p>
        </w:tc>
        <w:tc>
          <w:tcPr>
            <w:tcW w:w="1170" w:type="dxa"/>
            <w:tcBorders>
              <w:top w:val="single" w:sz="4" w:space="0" w:color="FFFFFF" w:themeColor="background1"/>
            </w:tcBorders>
            <w:vAlign w:val="center"/>
          </w:tcPr>
          <w:p w14:paraId="105ED56B" w14:textId="77777777" w:rsidR="00F61C11" w:rsidRPr="00F61C11" w:rsidRDefault="00F61C11" w:rsidP="002A1E7C">
            <w:pPr>
              <w:jc w:val="center"/>
              <w:rPr>
                <w:sz w:val="18"/>
                <w:szCs w:val="18"/>
              </w:rPr>
            </w:pPr>
            <w:r w:rsidRPr="00F61C11">
              <w:rPr>
                <w:sz w:val="18"/>
                <w:szCs w:val="18"/>
              </w:rPr>
              <w:t>1.4120</w:t>
            </w:r>
          </w:p>
        </w:tc>
        <w:tc>
          <w:tcPr>
            <w:tcW w:w="1620" w:type="dxa"/>
            <w:tcBorders>
              <w:top w:val="single" w:sz="4" w:space="0" w:color="FFFFFF" w:themeColor="background1"/>
            </w:tcBorders>
            <w:vAlign w:val="center"/>
          </w:tcPr>
          <w:p w14:paraId="212E19FA" w14:textId="77777777" w:rsidR="00F61C11" w:rsidRPr="00F61C11" w:rsidRDefault="00F61C11" w:rsidP="002A1E7C">
            <w:pPr>
              <w:jc w:val="center"/>
              <w:rPr>
                <w:sz w:val="18"/>
                <w:szCs w:val="18"/>
              </w:rPr>
            </w:pPr>
            <w:r w:rsidRPr="00F61C11">
              <w:rPr>
                <w:sz w:val="18"/>
                <w:szCs w:val="18"/>
              </w:rPr>
              <w:t>3.547E-3</w:t>
            </w:r>
          </w:p>
        </w:tc>
        <w:tc>
          <w:tcPr>
            <w:tcW w:w="1350" w:type="dxa"/>
            <w:tcBorders>
              <w:top w:val="single" w:sz="4" w:space="0" w:color="FFFFFF" w:themeColor="background1"/>
            </w:tcBorders>
            <w:vAlign w:val="center"/>
          </w:tcPr>
          <w:p w14:paraId="00A756D4" w14:textId="77777777" w:rsidR="00F61C11" w:rsidRPr="00F61C11" w:rsidRDefault="00F61C11" w:rsidP="002A1E7C">
            <w:pPr>
              <w:jc w:val="center"/>
              <w:rPr>
                <w:sz w:val="18"/>
                <w:szCs w:val="18"/>
              </w:rPr>
            </w:pPr>
            <w:r w:rsidRPr="00F61C11">
              <w:rPr>
                <w:sz w:val="18"/>
                <w:szCs w:val="18"/>
              </w:rPr>
              <w:t>1154</w:t>
            </w:r>
          </w:p>
        </w:tc>
      </w:tr>
      <w:tr w:rsidR="00F61C11" w14:paraId="0EF84053" w14:textId="77777777" w:rsidTr="002A1E7C">
        <w:tc>
          <w:tcPr>
            <w:tcW w:w="1080" w:type="dxa"/>
            <w:tcBorders>
              <w:bottom w:val="single" w:sz="4" w:space="0" w:color="auto"/>
            </w:tcBorders>
            <w:shd w:val="clear" w:color="auto" w:fill="auto"/>
            <w:vAlign w:val="center"/>
          </w:tcPr>
          <w:p w14:paraId="4AF23D37" w14:textId="77777777" w:rsidR="00F61C11" w:rsidRPr="00F61C11" w:rsidRDefault="00F61C11" w:rsidP="002A1E7C">
            <w:pPr>
              <w:jc w:val="center"/>
              <w:rPr>
                <w:sz w:val="18"/>
                <w:szCs w:val="18"/>
              </w:rPr>
            </w:pPr>
            <w:r w:rsidRPr="00F61C11">
              <w:rPr>
                <w:sz w:val="18"/>
                <w:szCs w:val="18"/>
              </w:rPr>
              <w:t>50.9</w:t>
            </w:r>
          </w:p>
        </w:tc>
        <w:tc>
          <w:tcPr>
            <w:tcW w:w="1080" w:type="dxa"/>
            <w:tcBorders>
              <w:bottom w:val="single" w:sz="4" w:space="0" w:color="auto"/>
            </w:tcBorders>
            <w:shd w:val="clear" w:color="auto" w:fill="auto"/>
            <w:vAlign w:val="center"/>
          </w:tcPr>
          <w:p w14:paraId="4A234341" w14:textId="77777777" w:rsidR="00F61C11" w:rsidRPr="00F61C11" w:rsidRDefault="00F61C11" w:rsidP="002A1E7C">
            <w:pPr>
              <w:jc w:val="center"/>
              <w:rPr>
                <w:sz w:val="18"/>
                <w:szCs w:val="18"/>
              </w:rPr>
            </w:pPr>
            <w:r w:rsidRPr="00F61C11">
              <w:rPr>
                <w:sz w:val="18"/>
                <w:szCs w:val="18"/>
              </w:rPr>
              <w:t>30.3</w:t>
            </w:r>
          </w:p>
        </w:tc>
        <w:tc>
          <w:tcPr>
            <w:tcW w:w="900" w:type="dxa"/>
            <w:tcBorders>
              <w:bottom w:val="single" w:sz="4" w:space="0" w:color="auto"/>
            </w:tcBorders>
            <w:vAlign w:val="center"/>
          </w:tcPr>
          <w:p w14:paraId="45D7F5B8" w14:textId="77777777" w:rsidR="00F61C11" w:rsidRPr="00F61C11" w:rsidRDefault="00F61C11" w:rsidP="002A1E7C">
            <w:pPr>
              <w:jc w:val="center"/>
              <w:rPr>
                <w:sz w:val="18"/>
                <w:szCs w:val="18"/>
              </w:rPr>
            </w:pPr>
            <w:r w:rsidRPr="00F61C11">
              <w:rPr>
                <w:sz w:val="18"/>
                <w:szCs w:val="18"/>
              </w:rPr>
              <w:t>18.8</w:t>
            </w:r>
          </w:p>
        </w:tc>
        <w:tc>
          <w:tcPr>
            <w:tcW w:w="1440" w:type="dxa"/>
            <w:tcBorders>
              <w:bottom w:val="single" w:sz="4" w:space="0" w:color="auto"/>
            </w:tcBorders>
            <w:vAlign w:val="center"/>
          </w:tcPr>
          <w:p w14:paraId="08FA7D46" w14:textId="77777777" w:rsidR="00F61C11" w:rsidRPr="00F61C11" w:rsidRDefault="00F61C11" w:rsidP="002A1E7C">
            <w:pPr>
              <w:jc w:val="center"/>
              <w:rPr>
                <w:sz w:val="18"/>
                <w:szCs w:val="18"/>
              </w:rPr>
            </w:pPr>
            <w:r w:rsidRPr="00F61C11">
              <w:rPr>
                <w:sz w:val="18"/>
                <w:szCs w:val="18"/>
              </w:rPr>
              <w:t>24.2</w:t>
            </w:r>
          </w:p>
        </w:tc>
        <w:tc>
          <w:tcPr>
            <w:tcW w:w="1170" w:type="dxa"/>
            <w:tcBorders>
              <w:bottom w:val="single" w:sz="4" w:space="0" w:color="auto"/>
            </w:tcBorders>
            <w:vAlign w:val="center"/>
          </w:tcPr>
          <w:p w14:paraId="0CA4895A" w14:textId="77777777" w:rsidR="00F61C11" w:rsidRPr="00F61C11" w:rsidRDefault="00F61C11" w:rsidP="002A1E7C">
            <w:pPr>
              <w:jc w:val="center"/>
              <w:rPr>
                <w:sz w:val="18"/>
                <w:szCs w:val="18"/>
              </w:rPr>
            </w:pPr>
            <w:r w:rsidRPr="00F61C11">
              <w:rPr>
                <w:sz w:val="18"/>
                <w:szCs w:val="18"/>
              </w:rPr>
              <w:t>1.4118</w:t>
            </w:r>
          </w:p>
        </w:tc>
        <w:tc>
          <w:tcPr>
            <w:tcW w:w="1620" w:type="dxa"/>
            <w:tcBorders>
              <w:bottom w:val="single" w:sz="4" w:space="0" w:color="auto"/>
            </w:tcBorders>
            <w:vAlign w:val="center"/>
          </w:tcPr>
          <w:p w14:paraId="1F35E789" w14:textId="77777777" w:rsidR="00F61C11" w:rsidRPr="00F61C11" w:rsidRDefault="00F61C11" w:rsidP="002A1E7C">
            <w:pPr>
              <w:jc w:val="center"/>
              <w:rPr>
                <w:sz w:val="18"/>
                <w:szCs w:val="18"/>
              </w:rPr>
            </w:pPr>
            <w:r w:rsidRPr="00F61C11">
              <w:rPr>
                <w:sz w:val="18"/>
                <w:szCs w:val="18"/>
              </w:rPr>
              <w:t>4.033E-3</w:t>
            </w:r>
          </w:p>
        </w:tc>
        <w:tc>
          <w:tcPr>
            <w:tcW w:w="1350" w:type="dxa"/>
            <w:tcBorders>
              <w:bottom w:val="single" w:sz="4" w:space="0" w:color="auto"/>
            </w:tcBorders>
            <w:vAlign w:val="center"/>
          </w:tcPr>
          <w:p w14:paraId="72004231" w14:textId="77777777" w:rsidR="00F61C11" w:rsidRPr="00F61C11" w:rsidRDefault="00F61C11" w:rsidP="002A1E7C">
            <w:pPr>
              <w:jc w:val="center"/>
              <w:rPr>
                <w:sz w:val="18"/>
                <w:szCs w:val="18"/>
              </w:rPr>
            </w:pPr>
            <w:r w:rsidRPr="00F61C11">
              <w:rPr>
                <w:sz w:val="18"/>
                <w:szCs w:val="18"/>
              </w:rPr>
              <w:t>1152</w:t>
            </w:r>
          </w:p>
        </w:tc>
      </w:tr>
    </w:tbl>
    <w:p w14:paraId="4671926B" w14:textId="2CB43F7B" w:rsidR="00EC7BDE" w:rsidRDefault="00EC7BDE" w:rsidP="0043782E"/>
    <w:p w14:paraId="19F42A07" w14:textId="63398888" w:rsidR="00EF5948" w:rsidRDefault="00EF5948" w:rsidP="0043782E">
      <w:r>
        <w:tab/>
        <w:t xml:space="preserve">Optical experiments using glass or acrylic models require a higher fluid RI of between 1.47-1.49. To test for such experiments, urea was added to a </w:t>
      </w:r>
      <w:r w:rsidR="00C92EC7">
        <w:t>57/43</w:t>
      </w:r>
      <w:r>
        <w:t xml:space="preserve"> </w:t>
      </w:r>
      <w:r w:rsidR="00C92EC7">
        <w:t xml:space="preserve">by volume solution of </w:t>
      </w:r>
      <w:r>
        <w:t>wat</w:t>
      </w:r>
      <w:r w:rsidR="00C92EC7">
        <w:t xml:space="preserve">er-glycerol. The highest achievable index of refraction before saturation of urea was 1.4428. Thus, water-glycerol-urea alone cannot be used for high index of refraction optical experiments. However, urea can be combined with </w:t>
      </w:r>
      <w:proofErr w:type="spellStart"/>
      <w:r w:rsidR="00C92EC7">
        <w:t>NaI</w:t>
      </w:r>
      <w:proofErr w:type="spellEnd"/>
      <w:r w:rsidR="00C92EC7">
        <w:t xml:space="preserve"> to achieve high RI fluids at a cheaper cost, through the fluid and stability properties of such solutions should be explored in future work.</w:t>
      </w:r>
    </w:p>
    <w:p w14:paraId="4EC1AEA7" w14:textId="77777777" w:rsidR="00EF5948" w:rsidRDefault="00EF5948" w:rsidP="0043782E"/>
    <w:p w14:paraId="0E0AFDA6" w14:textId="2CF7CC7C" w:rsidR="00497C0B" w:rsidRPr="00497C0B" w:rsidRDefault="00497C0B" w:rsidP="00497C0B">
      <w:pPr>
        <w:pStyle w:val="heading2"/>
        <w:numPr>
          <w:ilvl w:val="1"/>
          <w:numId w:val="4"/>
        </w:numPr>
        <w:ind w:left="450" w:hanging="450"/>
      </w:pPr>
      <w:r>
        <w:t>Non-Newtonian</w:t>
      </w:r>
      <w:r w:rsidR="0066573C">
        <w:t xml:space="preserve"> Fluids</w:t>
      </w:r>
    </w:p>
    <w:p w14:paraId="56B1768F" w14:textId="2AFC6311" w:rsidR="0058134C" w:rsidRDefault="00AB5272" w:rsidP="00E415BD">
      <w:pPr>
        <w:ind w:firstLine="450"/>
        <w:rPr>
          <w:rFonts w:cs="Arial"/>
          <w:szCs w:val="24"/>
        </w:rPr>
      </w:pPr>
      <w:r>
        <w:rPr>
          <w:rFonts w:cs="Arial"/>
          <w:szCs w:val="24"/>
        </w:rPr>
        <w:t>For f</w:t>
      </w:r>
      <w:r w:rsidR="00B900BF">
        <w:rPr>
          <w:rFonts w:cs="Arial"/>
          <w:szCs w:val="24"/>
        </w:rPr>
        <w:t>low in small vessels (diameter &lt; 0.5 – 0.6 mm)</w:t>
      </w:r>
      <w:r>
        <w:rPr>
          <w:rFonts w:cs="Arial"/>
          <w:szCs w:val="24"/>
        </w:rPr>
        <w:t>, in addition to</w:t>
      </w:r>
      <w:r w:rsidR="00B900BF">
        <w:rPr>
          <w:rFonts w:cs="Arial"/>
          <w:szCs w:val="24"/>
        </w:rPr>
        <w:t xml:space="preserve"> RI, density and viscosity</w:t>
      </w:r>
      <w:r>
        <w:rPr>
          <w:rFonts w:cs="Arial"/>
          <w:szCs w:val="24"/>
        </w:rPr>
        <w:t xml:space="preserve">, </w:t>
      </w:r>
      <w:r w:rsidR="00B900BF">
        <w:rPr>
          <w:rFonts w:cs="Arial"/>
          <w:szCs w:val="24"/>
        </w:rPr>
        <w:t>the Non-Newtonian behavior of blood</w:t>
      </w:r>
      <w:r>
        <w:rPr>
          <w:rFonts w:cs="Arial"/>
          <w:szCs w:val="24"/>
        </w:rPr>
        <w:t xml:space="preserve"> must also be considered</w:t>
      </w:r>
      <w:r w:rsidR="00B900BF">
        <w:rPr>
          <w:rFonts w:cs="Arial"/>
          <w:szCs w:val="24"/>
        </w:rPr>
        <w:t xml:space="preserve"> </w:t>
      </w:r>
      <w:r w:rsidR="00B900BF">
        <w:rPr>
          <w:rFonts w:cs="Arial"/>
          <w:szCs w:val="24"/>
        </w:rPr>
        <w:fldChar w:fldCharType="begin" w:fldLock="1"/>
      </w:r>
      <w:r w:rsidR="00EC7BDE">
        <w:rPr>
          <w:rFonts w:cs="Arial"/>
          <w:szCs w:val="24"/>
        </w:rPr>
        <w:instrText>ADDIN CSL_CITATION {"citationItems":[{"id":"ITEM-1","itemData":{"DOI":"10.1016/S0301-5629(97)00277-9","ISBN":"0301-5629 (Print) 0301-5629 (Linking)","ISSN":"03015629","PMID":"9587999","abstract":"A blood-mimicking fluid (BMF) suitable for use in Doppler flow test objects is described and characterised. The BMF consists of 5 μm diameter nylon scattering particles suspended in a fluid base of water, glycerol, dextran and surfactant. The acoustical properties of various BMF preparations were measured under uniform flow to study the effects of particle size, particle concentration, surfactant concentration, flow rate and stability. The physical properties, (density, viscosity and particle size), and acoustical properties (velocity, backscatter and attenuation) of the BMF are within draft International Electrotechnical Commission requirements.","author":[{"dropping-particle":"V.","family":"Ramnarine","given":"Kumar","non-dropping-particle":"","parse-names":false,"suffix":""},{"dropping-particle":"","family":"Nassiri","given":"Dariush K.","non-dropping-particle":"","parse-names":false,"suffix":""},{"dropping-particle":"","family":"Hoskins","given":"Peter R.","non-dropping-particle":"","parse-names":false,"suffix":""},{"dropping-particle":"","family":"Lubbers","given":"Jaap","non-dropping-particle":"","parse-names":false,"suffix":""}],"container-title":"Ultrasound in Medicine and Biology","id":"ITEM-1","issue":"3","issued":{"date-parts":[["1998"]]},"page":"451-459","title":"Validation of a new blood-mimicking fluid for use in Doppler flow test objects","type":"article-journal","volume":"24"},"uris":["http://www.mendeley.com/documents/?uuid=13d397ef-860e-4131-bf51-939cba5db78f","http://www.mendeley.com/documents/?uuid=b0bd8fb2-dce0-4480-bbac-36d765446a8d"]}],"mendeley":{"formattedCitation":"(Ramnarine et al. 1998)","plainTextFormattedCitation":"(Ramnarine et al. 1998)","previouslyFormattedCitation":"(Ramnarine et al. 1998)"},"properties":{"noteIndex":0},"schema":"https://github.com/citation-style-language/schema/raw/master/csl-citation.json"}</w:instrText>
      </w:r>
      <w:r w:rsidR="00B900BF">
        <w:rPr>
          <w:rFonts w:cs="Arial"/>
          <w:szCs w:val="24"/>
        </w:rPr>
        <w:fldChar w:fldCharType="separate"/>
      </w:r>
      <w:r w:rsidR="00B900BF" w:rsidRPr="00B900BF">
        <w:rPr>
          <w:rFonts w:cs="Arial"/>
          <w:noProof/>
          <w:szCs w:val="24"/>
        </w:rPr>
        <w:t xml:space="preserve">(Ramnarine </w:t>
      </w:r>
      <w:r w:rsidR="00B900BF" w:rsidRPr="00B900BF">
        <w:rPr>
          <w:rFonts w:cs="Arial"/>
          <w:noProof/>
          <w:szCs w:val="24"/>
        </w:rPr>
        <w:lastRenderedPageBreak/>
        <w:t>et al. 1998)</w:t>
      </w:r>
      <w:r w:rsidR="00B900BF">
        <w:rPr>
          <w:rFonts w:cs="Arial"/>
          <w:szCs w:val="24"/>
        </w:rPr>
        <w:fldChar w:fldCharType="end"/>
      </w:r>
      <w:r w:rsidR="00312A5E">
        <w:rPr>
          <w:rFonts w:cs="Arial"/>
          <w:szCs w:val="24"/>
        </w:rPr>
        <w:t xml:space="preserve">. </w:t>
      </w:r>
      <w:r>
        <w:rPr>
          <w:rFonts w:cs="Arial"/>
          <w:szCs w:val="24"/>
        </w:rPr>
        <w:t xml:space="preserve">Previous studies have reported that non-Newtonian solutions using xanthan gum </w:t>
      </w:r>
      <w:r w:rsidR="00F458E4">
        <w:rPr>
          <w:rFonts w:cs="Arial"/>
          <w:szCs w:val="24"/>
        </w:rPr>
        <w:t>lose shear-thinning properties</w:t>
      </w:r>
      <w:r w:rsidR="008513E9">
        <w:rPr>
          <w:rFonts w:cs="Arial"/>
          <w:szCs w:val="24"/>
        </w:rPr>
        <w:t xml:space="preserve"> with</w:t>
      </w:r>
      <w:r>
        <w:rPr>
          <w:rFonts w:cs="Arial"/>
          <w:szCs w:val="24"/>
        </w:rPr>
        <w:t xml:space="preserve"> the addition of salts, such as </w:t>
      </w:r>
      <w:proofErr w:type="spellStart"/>
      <w:r>
        <w:rPr>
          <w:rFonts w:cs="Arial"/>
          <w:szCs w:val="24"/>
        </w:rPr>
        <w:t>NaI</w:t>
      </w:r>
      <w:proofErr w:type="spellEnd"/>
      <w:r>
        <w:rPr>
          <w:rFonts w:cs="Arial"/>
          <w:szCs w:val="24"/>
        </w:rPr>
        <w:t xml:space="preserve"> </w:t>
      </w:r>
      <w:r>
        <w:rPr>
          <w:rFonts w:cs="Arial"/>
          <w:szCs w:val="24"/>
        </w:rPr>
        <w:fldChar w:fldCharType="begin" w:fldLock="1"/>
      </w:r>
      <w:r w:rsidR="00215E80">
        <w:rPr>
          <w:rFonts w:cs="Arial"/>
          <w:szCs w:val="24"/>
        </w:rPr>
        <w:instrText>ADDIN CSL_CITATION {"citationItems":[{"id":"ITEM-1","itemData":{"DOI":"10.1007/s00348-016-2185-x","ISSN":"07234864","abstract":"Four commonly used refractive-index (RI)-matched Newtonian blood-analog fluids are reviewed, and different non-Newtonian blood-analogs, with RI of 1.372--1.495, are investigated. Sodium iodide (NaI), sodium thiocyanate (NaSCN) and potassium thiocyanate are used to adjust the RI of blood-analogs to that of test sections for minimizing optical distortions in particle image velocimetry data, and xanthan gum (XG) is added to the fluids to give them non-Newtonian properties (shear thinning and viscoelasticity). Our results support the general belief that adding NaI to Newtonian fluids matches the RI without changing the kinematic viscosity. However, in contrast to claims made in a few studies that did not measure rheology, our investigation revealed that adding NaI or NaSCN to XG-based non-Newtonian fluids changes the viscosity of the fluids considerably and reduces the shear-thinning property. Therefore, the RI of non-Newtonian blood-analog fluids with XG cannot be adjusted easily by varying the concentration of NaI or NaSCN and needs more careful rheological study.","author":[{"dropping-particle":"","family":"Najjari","given":"Mohammad Reza","non-dropping-particle":"","parse-names":false,"suffix":""},{"dropping-particle":"","family":"Hinke","given":"Jessica A.","non-dropping-particle":"","parse-names":false,"suffix":""},{"dropping-particle":"V.","family":"Bulusu","given":"Kartik","non-dropping-particle":"","parse-names":false,"suffix":""},{"dropping-particle":"","family":"Plesniak","given":"Michael W.","non-dropping-particle":"","parse-names":false,"suffix":""}],"container-title":"Experiments in Fluids","id":"ITEM-1","issue":"6","issued":{"date-parts":[["2016"]]},"page":"1-6","publisher":"Springer Berlin Heidelberg","title":"On the rheology of refractive-index-matched, non-Newtonian blood-analog fluids for PIV experiments","type":"article-journal","volume":"57"},"uris":["http://www.mendeley.com/documents/?uuid=9277b6f8-edae-4535-88d2-68ab5c2362c0"]},{"id":"ITEM-2","itemData":{"DOI":"10.1016/j.jbiomech.2014.02.026","ISBN":"0021-9290","ISSN":"18732380","PMID":"24612986","abstract":"The aim of this work is to develop a unique in vitro set-up in order to analyse the influence of the shear thinning fluid-properties on the flow dynamics within the bulge of an abdominal aortic aneurysm (AAA). From an experimental point of view, the goals are to elaborate an analogue shear thinning fluid mimicking the macroscopic blood behaviour, to characterise its rheology at low shear rates and to propose an experimental device able to manage such an analogue fluid without altering its feature while reproducing physiological flow rate and pressure, through compliant AAA. Once these experimental prerequisites achieved, the results obtained in the present work show that the flow dynamics is highly dependent on the fluid rheology. The main results point out that the propagation of the vortex ring, generated in the AAA bulge, is slower for shear thinning fluids inducing a smaller travelled distance by the vortex ring so that it never impacts the anterior wall in the distal region, in opposition to Newtonian fluids. Moreover, scalar shear rate values are globally lower for shear thinning fluids inducing higher maximum stress values than those for the Newtonian fluids. Consequently, this work highlights that a Newtonian fluid model is finally inadequate to obtain a reliable prediction of the flow dynamics within AAA. © 2014 Elsevier Ltd.","author":[{"dropping-particle":"","family":"Deplano","given":"Valérie","non-dropping-particle":"","parse-names":false,"suffix":""},{"dropping-particle":"","family":"Knapp","given":"Yannick","non-dropping-particle":"","parse-names":false,"suffix":""},{"dropping-particle":"","family":"Bailly","given":"Lucie","non-dropping-particle":"","parse-names":false,"suffix":""},{"dropping-particle":"","family":"Bertrand","given":"Eric","non-dropping-particle":"","parse-names":false,"suffix":""}],"container-title":"Journal of Biomechanics","id":"ITEM-2","issue":"6","issued":{"date-parts":[["2014"]]},"page":"1262-1269","publisher":"Elsevier","title":"Flow of a blood analogue fluid in a compliant abdominal aortic aneurysm model: Experimental modelling","type":"article-journal","volume":"47"},"uris":["http://www.mendeley.com/documents/?uuid=8d76690e-89de-4b78-87c5-889c2d2b0d56","http://www.mendeley.com/documents/?uuid=01194ded-8ed4-4c5e-b2b7-4d951405990d"]}],"mendeley":{"formattedCitation":"(Deplano et al. 2014; Najjari et al. 2016)","plainTextFormattedCitation":"(Deplano et al. 2014; Najjari et al. 2016)","previouslyFormattedCitation":"(Deplano et al. 2014; Najjari et al. 2016)"},"properties":{"noteIndex":0},"schema":"https://github.com/citation-style-language/schema/raw/master/csl-citation.json"}</w:instrText>
      </w:r>
      <w:r>
        <w:rPr>
          <w:rFonts w:cs="Arial"/>
          <w:szCs w:val="24"/>
        </w:rPr>
        <w:fldChar w:fldCharType="separate"/>
      </w:r>
      <w:r w:rsidRPr="00AB5272">
        <w:rPr>
          <w:rFonts w:cs="Arial"/>
          <w:noProof/>
          <w:szCs w:val="24"/>
        </w:rPr>
        <w:t>(Deplano et al. 2014; Najjari et al. 2016)</w:t>
      </w:r>
      <w:r>
        <w:rPr>
          <w:rFonts w:cs="Arial"/>
          <w:szCs w:val="24"/>
        </w:rPr>
        <w:fldChar w:fldCharType="end"/>
      </w:r>
      <w:r>
        <w:rPr>
          <w:rFonts w:cs="Arial"/>
          <w:szCs w:val="24"/>
        </w:rPr>
        <w:t xml:space="preserve">. </w:t>
      </w:r>
      <w:r w:rsidR="004B4DB5">
        <w:rPr>
          <w:rFonts w:cs="Arial"/>
          <w:szCs w:val="24"/>
        </w:rPr>
        <w:t xml:space="preserve">Therefore, </w:t>
      </w:r>
      <w:r w:rsidR="00BD73E3">
        <w:rPr>
          <w:rFonts w:cs="Arial"/>
          <w:szCs w:val="24"/>
        </w:rPr>
        <w:t>the effect of urea on non-Newtonian XG solutions was tested. X</w:t>
      </w:r>
      <w:r w:rsidR="004B4DB5">
        <w:rPr>
          <w:rFonts w:cs="Arial"/>
          <w:szCs w:val="24"/>
        </w:rPr>
        <w:t>anthan gum was added at 0.02, 0.04 a</w:t>
      </w:r>
      <w:r w:rsidR="00BD73E3">
        <w:rPr>
          <w:rFonts w:cs="Arial"/>
          <w:szCs w:val="24"/>
        </w:rPr>
        <w:t xml:space="preserve">nd 0.06 </w:t>
      </w:r>
      <w:proofErr w:type="spellStart"/>
      <w:r w:rsidR="00BD73E3">
        <w:rPr>
          <w:rFonts w:cs="Arial"/>
          <w:szCs w:val="24"/>
        </w:rPr>
        <w:t>wt</w:t>
      </w:r>
      <w:proofErr w:type="spellEnd"/>
      <w:r w:rsidR="004B4DB5">
        <w:rPr>
          <w:rFonts w:cs="Arial"/>
          <w:szCs w:val="24"/>
        </w:rPr>
        <w:t xml:space="preserve">% to the final three-component Newtonian solutions to introduce non-Newtonian properties. </w:t>
      </w:r>
      <w:r w:rsidR="00B900BF">
        <w:rPr>
          <w:rFonts w:cs="Arial"/>
          <w:szCs w:val="24"/>
        </w:rPr>
        <w:t xml:space="preserve">Fluid testing was conducted </w:t>
      </w:r>
      <w:r w:rsidR="004B4DB5">
        <w:rPr>
          <w:rFonts w:cs="Arial"/>
          <w:szCs w:val="24"/>
        </w:rPr>
        <w:t xml:space="preserve">for </w:t>
      </w:r>
      <w:r w:rsidR="00874C3A">
        <w:rPr>
          <w:rFonts w:cs="Arial"/>
          <w:szCs w:val="24"/>
        </w:rPr>
        <w:t xml:space="preserve">a </w:t>
      </w:r>
      <w:r w:rsidR="001C5C92">
        <w:rPr>
          <w:rFonts w:cs="Arial"/>
          <w:szCs w:val="24"/>
        </w:rPr>
        <w:t>strain</w:t>
      </w:r>
      <w:r w:rsidR="00874C3A">
        <w:rPr>
          <w:rFonts w:cs="Arial"/>
          <w:szCs w:val="24"/>
        </w:rPr>
        <w:t xml:space="preserve"> percent range of</w:t>
      </w:r>
      <w:r w:rsidR="001C5C92">
        <w:rPr>
          <w:rFonts w:cs="Arial"/>
          <w:szCs w:val="24"/>
        </w:rPr>
        <w:t xml:space="preserve"> </w:t>
      </w:r>
      <w:r w:rsidR="004B4DB5">
        <w:rPr>
          <w:rFonts w:cs="Arial"/>
          <w:szCs w:val="24"/>
        </w:rPr>
        <w:t xml:space="preserve">5E-3 </w:t>
      </w:r>
      <w:r w:rsidR="00874C3A">
        <w:rPr>
          <w:rFonts w:cs="Arial"/>
          <w:szCs w:val="24"/>
        </w:rPr>
        <w:t>to</w:t>
      </w:r>
      <w:r w:rsidR="004B4DB5">
        <w:rPr>
          <w:rFonts w:cs="Arial"/>
          <w:szCs w:val="24"/>
        </w:rPr>
        <w:t xml:space="preserve"> 5000</w:t>
      </w:r>
      <w:r w:rsidR="00874C3A">
        <w:rPr>
          <w:rFonts w:cs="Arial"/>
          <w:szCs w:val="24"/>
        </w:rPr>
        <w:t>, corresponding to an oscillation strain rate of approximately 8E-4 to 650</w:t>
      </w:r>
      <w:r w:rsidR="004B4DB5">
        <w:rPr>
          <w:rFonts w:cs="Arial"/>
          <w:szCs w:val="24"/>
        </w:rPr>
        <w:t xml:space="preserve">. </w:t>
      </w:r>
      <w:r w:rsidR="002776F8">
        <w:rPr>
          <w:rFonts w:cs="Arial"/>
          <w:szCs w:val="24"/>
        </w:rPr>
        <w:t>The resulting oscillatory viscosity (m</w:t>
      </w:r>
      <w:r w:rsidR="002776F8">
        <w:rPr>
          <w:rFonts w:cs="Arial"/>
          <w:szCs w:val="24"/>
          <w:vertAlign w:val="superscript"/>
        </w:rPr>
        <w:t>2</w:t>
      </w:r>
      <w:r w:rsidR="002776F8">
        <w:rPr>
          <w:rFonts w:cs="Arial"/>
          <w:szCs w:val="24"/>
        </w:rPr>
        <w:t>/s) and oscillatory elasticity (m</w:t>
      </w:r>
      <w:r w:rsidR="002776F8">
        <w:rPr>
          <w:rFonts w:cs="Arial"/>
          <w:szCs w:val="24"/>
          <w:vertAlign w:val="superscript"/>
        </w:rPr>
        <w:t>2</w:t>
      </w:r>
      <w:r w:rsidR="002776F8">
        <w:rPr>
          <w:rFonts w:cs="Arial"/>
          <w:szCs w:val="24"/>
        </w:rPr>
        <w:t xml:space="preserve">/s) </w:t>
      </w:r>
      <w:r w:rsidR="004F35F9">
        <w:rPr>
          <w:rFonts w:cs="Arial"/>
          <w:szCs w:val="24"/>
        </w:rPr>
        <w:t>as a function of oscillatory strain rate (s</w:t>
      </w:r>
      <w:r w:rsidR="004F35F9">
        <w:rPr>
          <w:rFonts w:cs="Arial"/>
          <w:szCs w:val="24"/>
          <w:vertAlign w:val="superscript"/>
        </w:rPr>
        <w:t>-1</w:t>
      </w:r>
      <w:r w:rsidR="004F35F9">
        <w:rPr>
          <w:rFonts w:cs="Arial"/>
          <w:szCs w:val="24"/>
        </w:rPr>
        <w:t xml:space="preserve">) </w:t>
      </w:r>
      <w:r w:rsidR="002776F8" w:rsidRPr="004F35F9">
        <w:rPr>
          <w:rFonts w:cs="Arial"/>
          <w:szCs w:val="24"/>
        </w:rPr>
        <w:t>are</w:t>
      </w:r>
      <w:r w:rsidR="004F35F9">
        <w:rPr>
          <w:rFonts w:cs="Arial"/>
          <w:szCs w:val="24"/>
        </w:rPr>
        <w:t xml:space="preserve"> shown in Figure 3 in comparison to blood</w:t>
      </w:r>
      <w:r w:rsidR="004B4DB5">
        <w:rPr>
          <w:rFonts w:cs="Arial"/>
          <w:szCs w:val="24"/>
        </w:rPr>
        <w:t xml:space="preserve"> </w:t>
      </w:r>
      <w:r w:rsidR="004B4DB5">
        <w:rPr>
          <w:rFonts w:cs="Arial"/>
          <w:szCs w:val="24"/>
        </w:rPr>
        <w:fldChar w:fldCharType="begin" w:fldLock="1"/>
      </w:r>
      <w:r w:rsidR="00215E80">
        <w:rPr>
          <w:rFonts w:cs="Arial"/>
          <w:szCs w:val="24"/>
        </w:rPr>
        <w:instrText>ADDIN CSL_CITATION {"citationItems":[{"id":"ITEM-1","itemData":{"ISSN":"0006-355X","author":[{"dropping-particle":"","family":"Thurston","given":"George B","non-dropping-particle":"","parse-names":false,"suffix":""}],"container-title":"Biorheology","id":"ITEM-1","issue":"3","issued":{"date-parts":[["1979"]]},"page":"149-162","publisher":"IOS Press","title":"Rheological parameters for the viscosity viscoelasticity and thixotropy of blood","type":"article-journal","volume":"16"},"uris":["http://www.mendeley.com/documents/?uuid=19eeff98-ec7d-4c5b-81b3-11f302a12c35","http://www.mendeley.com/documents/?uuid=57c9e8e7-ca89-4288-ad01-a39b34692b60"]},{"id":"ITEM-2","itemData":{"DOI":"10.1097/01.mat.0000180353.12963.f2","ISBN":"1058-2916 (Print)\\r1058-2916 (Linking)","ISSN":"10582916","PMID":"16322719","abstract":"Red blood cell hematocrit, aggregation and deformability, and plasma protein concentration influence the viscosity and elasticity of whole blood. These parameters affect the flow properties, especially at low shear rates (&lt; 50 s(-1)). In particular, we have previously shown that the viscoelasticity of fluid affects the inlet filling characteristics and regions of flow separation in small pulsatile blood pumps. Although the viscosity of pediatric blood has been thoroughly studied, its elasticity has not been previously measured. Here we present the viscosity and elasticity of pediatric blood against shear rate for hematocrits from 19-56, measured using an oscillatory rheometer. There is little effect of patient age on blood viscoelasticity. A statistical analysis showed that when compared at constant hematocrit, blood from adult and pediatric patients had similar viscoelastic properties. We present blood analog solutions, as a function of hematocrit, constructed on the basis of the pediatric measurements. Flow field results for viscoelastic analogs of 20, 40 and 60% hematocrit and a Newtonian analog will be compared in the initial, in vitro testing of the Penn State pediatric blood pump, to determine the importance of incorporating a viscoelastic analog into the desigh interaction.","author":[{"dropping-particle":"","family":"Long","given":"Jennifer A.","non-dropping-particle":"","parse-names":false,"suffix":""},{"dropping-particle":"","family":"Ündar","given":"Akif","non-dropping-particle":"","parse-names":false,"suffix":""},{"dropping-particle":"","family":"Manning","given":"Keefe B.","non-dropping-particle":"","parse-names":false,"suffix":""},{"dropping-particle":"","family":"Deutsch","given":"Steven","non-dropping-particle":"","parse-names":false,"suffix":""}],"container-title":"ASAIO Journal","id":"ITEM-2","issue":"5","issued":{"date-parts":[["2005"]]},"page":"563-566","title":"Viscoelasticity of pediatric blood and its implications for the testing of a pulsatile pediatric blood pump","type":"article-journal","volume":"51"},"uris":["http://www.mendeley.com/documents/?uuid=b5381e19-9ca0-4a6a-a4f3-0c5d146a8d15"]}],"mendeley":{"formattedCitation":"(Thurston 1979; Long et al. 2005)","plainTextFormattedCitation":"(Thurston 1979; Long et al. 2005)","previouslyFormattedCitation":"(Thurston 1979; Long et al. 2005)"},"properties":{"noteIndex":0},"schema":"https://github.com/citation-style-language/schema/raw/master/csl-citation.json"}</w:instrText>
      </w:r>
      <w:r w:rsidR="004B4DB5">
        <w:rPr>
          <w:rFonts w:cs="Arial"/>
          <w:szCs w:val="24"/>
        </w:rPr>
        <w:fldChar w:fldCharType="separate"/>
      </w:r>
      <w:r w:rsidR="00D000D6" w:rsidRPr="00D000D6">
        <w:rPr>
          <w:rFonts w:cs="Arial"/>
          <w:noProof/>
          <w:szCs w:val="24"/>
        </w:rPr>
        <w:t>(Thurston 1979; Long et al. 2005)</w:t>
      </w:r>
      <w:r w:rsidR="004B4DB5">
        <w:rPr>
          <w:rFonts w:cs="Arial"/>
          <w:szCs w:val="24"/>
        </w:rPr>
        <w:fldChar w:fldCharType="end"/>
      </w:r>
      <w:r w:rsidR="00B900BF">
        <w:rPr>
          <w:rFonts w:cs="Arial"/>
          <w:szCs w:val="24"/>
        </w:rPr>
        <w:t xml:space="preserve">. </w:t>
      </w:r>
      <w:r w:rsidR="003B4773">
        <w:rPr>
          <w:rFonts w:cs="Arial"/>
          <w:szCs w:val="24"/>
        </w:rPr>
        <w:t xml:space="preserve">Increased uncertainty </w:t>
      </w:r>
      <w:r w:rsidR="00305897">
        <w:rPr>
          <w:rFonts w:cs="Arial"/>
          <w:szCs w:val="24"/>
        </w:rPr>
        <w:t>in oscillatory elasticity at high oscillatory strain rates was obse</w:t>
      </w:r>
      <w:r w:rsidR="00E36444">
        <w:rPr>
          <w:rFonts w:cs="Arial"/>
          <w:szCs w:val="24"/>
        </w:rPr>
        <w:t>rved, possibly due to the large gap size used, however, t</w:t>
      </w:r>
      <w:r w:rsidR="00305897">
        <w:rPr>
          <w:rFonts w:cs="Arial"/>
          <w:szCs w:val="24"/>
        </w:rPr>
        <w:t>his increased uncertainty does not change the general observations and conclusions presented here.</w:t>
      </w:r>
    </w:p>
    <w:p w14:paraId="711E410F" w14:textId="77777777" w:rsidR="00DB6980" w:rsidRDefault="00DB6980" w:rsidP="00E415BD">
      <w:pPr>
        <w:ind w:firstLine="450"/>
        <w:rPr>
          <w:rFonts w:cs="Arial"/>
          <w:szCs w:val="24"/>
        </w:rPr>
      </w:pPr>
    </w:p>
    <w:p w14:paraId="30B2D8FB" w14:textId="77777777" w:rsidR="00DB6980" w:rsidRDefault="00DB6980" w:rsidP="00DB6980">
      <w:pPr>
        <w:ind w:firstLine="450"/>
        <w:jc w:val="center"/>
        <w:rPr>
          <w:rFonts w:cs="Arial"/>
          <w:szCs w:val="24"/>
        </w:rPr>
      </w:pPr>
      <w:r>
        <w:rPr>
          <w:rFonts w:cs="Arial"/>
          <w:szCs w:val="24"/>
        </w:rPr>
        <w:t>Figure 3</w:t>
      </w:r>
    </w:p>
    <w:p w14:paraId="583AEAD3" w14:textId="77777777" w:rsidR="00DB6980" w:rsidRDefault="00DB6980" w:rsidP="00DB6980">
      <w:pPr>
        <w:ind w:firstLine="450"/>
        <w:jc w:val="center"/>
        <w:rPr>
          <w:rFonts w:cs="Arial"/>
          <w:szCs w:val="24"/>
        </w:rPr>
      </w:pPr>
    </w:p>
    <w:p w14:paraId="12A41F26" w14:textId="7F540954" w:rsidR="00D3114A" w:rsidRDefault="00662FF1" w:rsidP="00D3114A">
      <w:pPr>
        <w:ind w:firstLine="450"/>
        <w:rPr>
          <w:rFonts w:cs="Arial"/>
          <w:szCs w:val="24"/>
        </w:rPr>
      </w:pPr>
      <w:r>
        <w:rPr>
          <w:rFonts w:cs="Arial"/>
          <w:szCs w:val="24"/>
        </w:rPr>
        <w:t xml:space="preserve">Overall, as observed in Figure 3, urea and </w:t>
      </w:r>
      <w:proofErr w:type="spellStart"/>
      <w:r>
        <w:rPr>
          <w:rFonts w:cs="Arial"/>
          <w:szCs w:val="24"/>
        </w:rPr>
        <w:t>NaI</w:t>
      </w:r>
      <w:proofErr w:type="spellEnd"/>
      <w:r>
        <w:rPr>
          <w:rFonts w:cs="Arial"/>
          <w:szCs w:val="24"/>
        </w:rPr>
        <w:t xml:space="preserve"> </w:t>
      </w:r>
      <w:r w:rsidR="00D3114A">
        <w:rPr>
          <w:rFonts w:cs="Arial"/>
          <w:szCs w:val="24"/>
        </w:rPr>
        <w:t>maintained similar viscoelastic properties</w:t>
      </w:r>
      <w:r>
        <w:rPr>
          <w:rFonts w:cs="Arial"/>
          <w:szCs w:val="24"/>
        </w:rPr>
        <w:t xml:space="preserve"> in XG-water-glycerol solutions</w:t>
      </w:r>
      <w:r w:rsidR="00214147">
        <w:rPr>
          <w:rFonts w:cs="Arial"/>
          <w:szCs w:val="24"/>
        </w:rPr>
        <w:t xml:space="preserve">, confirming that urea can also be used for non-Newtonian </w:t>
      </w:r>
      <w:r w:rsidR="007C79E8">
        <w:rPr>
          <w:rFonts w:cs="Arial"/>
          <w:szCs w:val="24"/>
        </w:rPr>
        <w:t>solutions</w:t>
      </w:r>
      <w:r>
        <w:rPr>
          <w:rFonts w:cs="Arial"/>
          <w:szCs w:val="24"/>
        </w:rPr>
        <w:t xml:space="preserve">. </w:t>
      </w:r>
      <w:r w:rsidR="00D3114A">
        <w:rPr>
          <w:rFonts w:cs="Arial"/>
          <w:szCs w:val="24"/>
        </w:rPr>
        <w:t>At constant weight percent XG, t</w:t>
      </w:r>
      <w:r>
        <w:rPr>
          <w:rFonts w:cs="Arial"/>
          <w:szCs w:val="24"/>
        </w:rPr>
        <w:t>he</w:t>
      </w:r>
      <w:r w:rsidR="00A128CD">
        <w:rPr>
          <w:rFonts w:cs="Arial"/>
          <w:szCs w:val="24"/>
        </w:rPr>
        <w:t xml:space="preserve"> weight percent</w:t>
      </w:r>
      <w:r w:rsidR="008513E9">
        <w:rPr>
          <w:rFonts w:cs="Arial"/>
          <w:szCs w:val="24"/>
        </w:rPr>
        <w:t xml:space="preserve"> of urea or </w:t>
      </w:r>
      <w:proofErr w:type="spellStart"/>
      <w:r w:rsidR="008513E9">
        <w:rPr>
          <w:rFonts w:cs="Arial"/>
          <w:szCs w:val="24"/>
        </w:rPr>
        <w:t>NaI</w:t>
      </w:r>
      <w:proofErr w:type="spellEnd"/>
      <w:r w:rsidR="008513E9">
        <w:rPr>
          <w:rFonts w:cs="Arial"/>
          <w:szCs w:val="24"/>
        </w:rPr>
        <w:t xml:space="preserve"> in this range </w:t>
      </w:r>
      <w:r w:rsidR="000A05E0">
        <w:rPr>
          <w:rFonts w:cs="Arial"/>
          <w:szCs w:val="24"/>
        </w:rPr>
        <w:t xml:space="preserve">(about 15-25 </w:t>
      </w:r>
      <w:proofErr w:type="spellStart"/>
      <w:r w:rsidR="000A05E0">
        <w:rPr>
          <w:rFonts w:cs="Arial"/>
          <w:szCs w:val="24"/>
        </w:rPr>
        <w:t>wt</w:t>
      </w:r>
      <w:proofErr w:type="spellEnd"/>
      <w:r w:rsidR="000A05E0">
        <w:rPr>
          <w:rFonts w:cs="Arial"/>
          <w:szCs w:val="24"/>
        </w:rPr>
        <w:t xml:space="preserve">%) had </w:t>
      </w:r>
      <w:r w:rsidR="00F11051">
        <w:rPr>
          <w:rFonts w:cs="Arial"/>
          <w:szCs w:val="24"/>
        </w:rPr>
        <w:t>small</w:t>
      </w:r>
      <w:r w:rsidR="008513E9">
        <w:rPr>
          <w:rFonts w:cs="Arial"/>
          <w:szCs w:val="24"/>
        </w:rPr>
        <w:t xml:space="preserve"> effect on the shear thinning non-Newtonian behavior. </w:t>
      </w:r>
      <w:r w:rsidR="00A24B59">
        <w:rPr>
          <w:rFonts w:cs="Arial"/>
          <w:szCs w:val="24"/>
        </w:rPr>
        <w:t>It is important to note, because the index of refraction of PDMS is of primary interest in this work, the range of additive used here was limited compared to other studies that investigate fluids of high refractive index (1.47-1.49). Based on Figure 3</w:t>
      </w:r>
      <w:r w:rsidR="00D3114A">
        <w:rPr>
          <w:rFonts w:cs="Arial"/>
          <w:szCs w:val="24"/>
        </w:rPr>
        <w:t xml:space="preserve">, adding 0.02 </w:t>
      </w:r>
      <w:proofErr w:type="spellStart"/>
      <w:r w:rsidR="00D3114A">
        <w:rPr>
          <w:rFonts w:cs="Arial"/>
          <w:szCs w:val="24"/>
        </w:rPr>
        <w:t>wt</w:t>
      </w:r>
      <w:proofErr w:type="spellEnd"/>
      <w:r w:rsidR="00D3114A">
        <w:rPr>
          <w:rFonts w:cs="Arial"/>
          <w:szCs w:val="24"/>
        </w:rPr>
        <w:t xml:space="preserve">% XG </w:t>
      </w:r>
      <w:r w:rsidR="007D5132">
        <w:rPr>
          <w:rFonts w:cs="Arial"/>
          <w:szCs w:val="24"/>
        </w:rPr>
        <w:t xml:space="preserve">to the studied solutions </w:t>
      </w:r>
      <w:r w:rsidR="00D3114A">
        <w:rPr>
          <w:rFonts w:cs="Arial"/>
          <w:szCs w:val="24"/>
        </w:rPr>
        <w:t xml:space="preserve">resulted in the closest match to the non-Newtonian properties of blood. </w:t>
      </w:r>
    </w:p>
    <w:p w14:paraId="78F4247C" w14:textId="77777777" w:rsidR="007C79E8" w:rsidRDefault="007C79E8" w:rsidP="00D3114A">
      <w:pPr>
        <w:ind w:firstLine="450"/>
        <w:rPr>
          <w:rFonts w:cs="Arial"/>
          <w:szCs w:val="24"/>
        </w:rPr>
      </w:pPr>
    </w:p>
    <w:p w14:paraId="7E041F48" w14:textId="15CD16C0" w:rsidR="00D3114A" w:rsidRDefault="00D3114A" w:rsidP="00D3114A">
      <w:pPr>
        <w:ind w:firstLine="450"/>
        <w:jc w:val="center"/>
        <w:rPr>
          <w:rFonts w:cs="Arial"/>
          <w:szCs w:val="24"/>
        </w:rPr>
      </w:pPr>
      <w:r>
        <w:rPr>
          <w:rFonts w:cs="Arial"/>
          <w:szCs w:val="24"/>
        </w:rPr>
        <w:t>Figure 4</w:t>
      </w:r>
    </w:p>
    <w:p w14:paraId="674F9217" w14:textId="713B397F" w:rsidR="00ED3013" w:rsidRDefault="00D3114A" w:rsidP="00D3114A">
      <w:pPr>
        <w:ind w:firstLine="450"/>
        <w:rPr>
          <w:rFonts w:cs="Arial"/>
          <w:szCs w:val="24"/>
        </w:rPr>
      </w:pPr>
      <w:r>
        <w:rPr>
          <w:rFonts w:cs="Arial"/>
          <w:szCs w:val="24"/>
        </w:rPr>
        <w:t>F</w:t>
      </w:r>
      <w:r w:rsidR="007C79E8">
        <w:rPr>
          <w:rFonts w:cs="Arial"/>
          <w:szCs w:val="24"/>
        </w:rPr>
        <w:t xml:space="preserve">igure 4 shows the low starting viscosity </w:t>
      </w:r>
      <w:r>
        <w:rPr>
          <w:rFonts w:cs="Arial"/>
          <w:szCs w:val="24"/>
        </w:rPr>
        <w:t>solutions with varying weight percent XG (0-0.06</w:t>
      </w:r>
      <w:r w:rsidR="007C79E8">
        <w:rPr>
          <w:rFonts w:cs="Arial"/>
          <w:szCs w:val="24"/>
        </w:rPr>
        <w:t xml:space="preserve"> </w:t>
      </w:r>
      <w:proofErr w:type="spellStart"/>
      <w:r w:rsidR="007C79E8">
        <w:rPr>
          <w:rFonts w:cs="Arial"/>
          <w:szCs w:val="24"/>
        </w:rPr>
        <w:t>wt</w:t>
      </w:r>
      <w:proofErr w:type="spellEnd"/>
      <w:r w:rsidR="007C79E8">
        <w:rPr>
          <w:rFonts w:cs="Arial"/>
          <w:szCs w:val="24"/>
        </w:rPr>
        <w:t>%</w:t>
      </w:r>
      <w:r>
        <w:rPr>
          <w:rFonts w:cs="Arial"/>
          <w:szCs w:val="24"/>
        </w:rPr>
        <w:t>)</w:t>
      </w:r>
      <w:r w:rsidR="00947F67">
        <w:rPr>
          <w:rFonts w:cs="Arial"/>
          <w:szCs w:val="24"/>
        </w:rPr>
        <w:t xml:space="preserve"> added</w:t>
      </w:r>
      <w:r w:rsidR="007C79E8">
        <w:rPr>
          <w:rFonts w:cs="Arial"/>
          <w:szCs w:val="24"/>
        </w:rPr>
        <w:t xml:space="preserve">. Because the weight percent XG added </w:t>
      </w:r>
      <w:r w:rsidR="007D5132">
        <w:rPr>
          <w:rFonts w:cs="Arial"/>
          <w:szCs w:val="24"/>
        </w:rPr>
        <w:t xml:space="preserve">was </w:t>
      </w:r>
      <w:r w:rsidR="007C79E8">
        <w:rPr>
          <w:rFonts w:cs="Arial"/>
          <w:szCs w:val="24"/>
        </w:rPr>
        <w:t xml:space="preserve">so low, </w:t>
      </w:r>
      <w:r>
        <w:rPr>
          <w:rFonts w:cs="Arial"/>
          <w:szCs w:val="24"/>
        </w:rPr>
        <w:t xml:space="preserve">the </w:t>
      </w:r>
      <w:r w:rsidR="007C79E8">
        <w:rPr>
          <w:rFonts w:cs="Arial"/>
          <w:szCs w:val="24"/>
        </w:rPr>
        <w:t xml:space="preserve">weight percent of water, glycerol, and </w:t>
      </w:r>
      <w:r>
        <w:rPr>
          <w:rFonts w:cs="Arial"/>
          <w:szCs w:val="24"/>
        </w:rPr>
        <w:t>additi</w:t>
      </w:r>
      <w:r w:rsidR="007C79E8">
        <w:rPr>
          <w:rFonts w:cs="Arial"/>
          <w:szCs w:val="24"/>
        </w:rPr>
        <w:t xml:space="preserve">ve </w:t>
      </w:r>
      <w:r w:rsidR="007D5132">
        <w:rPr>
          <w:rFonts w:cs="Arial"/>
          <w:szCs w:val="24"/>
        </w:rPr>
        <w:t>were</w:t>
      </w:r>
      <w:r w:rsidR="007C79E8">
        <w:rPr>
          <w:rFonts w:cs="Arial"/>
          <w:szCs w:val="24"/>
        </w:rPr>
        <w:t xml:space="preserve"> </w:t>
      </w:r>
      <w:r>
        <w:rPr>
          <w:rFonts w:cs="Arial"/>
          <w:szCs w:val="24"/>
        </w:rPr>
        <w:t>effectively unchanged. The</w:t>
      </w:r>
      <w:r w:rsidR="00A128CD">
        <w:rPr>
          <w:rFonts w:cs="Arial"/>
          <w:szCs w:val="24"/>
        </w:rPr>
        <w:t xml:space="preserve"> weight percent</w:t>
      </w:r>
      <w:r w:rsidR="008513E9">
        <w:rPr>
          <w:rFonts w:cs="Arial"/>
          <w:szCs w:val="24"/>
        </w:rPr>
        <w:t xml:space="preserve"> of XG </w:t>
      </w:r>
      <w:r w:rsidR="00662FF1">
        <w:rPr>
          <w:rFonts w:cs="Arial"/>
          <w:szCs w:val="24"/>
        </w:rPr>
        <w:t>from 0.02-0.06</w:t>
      </w:r>
      <w:r w:rsidR="008513E9">
        <w:rPr>
          <w:rFonts w:cs="Arial"/>
          <w:szCs w:val="24"/>
        </w:rPr>
        <w:t xml:space="preserve"> </w:t>
      </w:r>
      <w:proofErr w:type="spellStart"/>
      <w:r w:rsidR="008513E9">
        <w:rPr>
          <w:rFonts w:cs="Arial"/>
          <w:szCs w:val="24"/>
        </w:rPr>
        <w:t>wt</w:t>
      </w:r>
      <w:proofErr w:type="spellEnd"/>
      <w:r w:rsidR="008513E9">
        <w:rPr>
          <w:rFonts w:cs="Arial"/>
          <w:szCs w:val="24"/>
        </w:rPr>
        <w:t xml:space="preserve">% had a significant effect on </w:t>
      </w:r>
      <w:r w:rsidR="00731961">
        <w:rPr>
          <w:rFonts w:cs="Arial"/>
          <w:szCs w:val="24"/>
        </w:rPr>
        <w:t xml:space="preserve">the magnitude of the oscillatory elasticity and </w:t>
      </w:r>
      <w:r w:rsidR="008513E9">
        <w:rPr>
          <w:rFonts w:cs="Arial"/>
          <w:szCs w:val="24"/>
        </w:rPr>
        <w:t xml:space="preserve">viscosity of the fluid. </w:t>
      </w:r>
      <w:r w:rsidR="00731961">
        <w:rPr>
          <w:rFonts w:cs="Arial"/>
          <w:szCs w:val="24"/>
        </w:rPr>
        <w:t>Also, a</w:t>
      </w:r>
      <w:r w:rsidR="00A128CD">
        <w:rPr>
          <w:rFonts w:cs="Arial"/>
          <w:szCs w:val="24"/>
        </w:rPr>
        <w:t>t higher weight percent</w:t>
      </w:r>
      <w:r w:rsidR="00D82608">
        <w:rPr>
          <w:rFonts w:cs="Arial"/>
          <w:szCs w:val="24"/>
        </w:rPr>
        <w:t xml:space="preserve"> XG, the </w:t>
      </w:r>
      <w:r w:rsidR="000A05E0">
        <w:rPr>
          <w:rFonts w:cs="Arial"/>
          <w:szCs w:val="24"/>
        </w:rPr>
        <w:t xml:space="preserve">slope of the </w:t>
      </w:r>
      <w:r w:rsidR="00F11051">
        <w:rPr>
          <w:rFonts w:cs="Arial"/>
          <w:szCs w:val="24"/>
        </w:rPr>
        <w:t>shear-thinning</w:t>
      </w:r>
      <w:r w:rsidR="00731961">
        <w:rPr>
          <w:rFonts w:cs="Arial"/>
          <w:szCs w:val="24"/>
        </w:rPr>
        <w:t xml:space="preserve"> property increased slightly</w:t>
      </w:r>
      <w:r w:rsidR="00D82608">
        <w:rPr>
          <w:rFonts w:cs="Arial"/>
          <w:szCs w:val="24"/>
        </w:rPr>
        <w:t xml:space="preserve">. </w:t>
      </w:r>
      <w:r w:rsidR="008513E9">
        <w:rPr>
          <w:rFonts w:cs="Arial"/>
          <w:szCs w:val="24"/>
        </w:rPr>
        <w:t>It is important to note</w:t>
      </w:r>
      <w:r w:rsidR="00A128CD">
        <w:rPr>
          <w:rFonts w:cs="Arial"/>
          <w:szCs w:val="24"/>
        </w:rPr>
        <w:t xml:space="preserve">, in our </w:t>
      </w:r>
      <w:r w:rsidR="007D5132">
        <w:rPr>
          <w:rFonts w:cs="Arial"/>
          <w:szCs w:val="24"/>
        </w:rPr>
        <w:t>method</w:t>
      </w:r>
      <w:r w:rsidR="008513E9">
        <w:rPr>
          <w:rFonts w:cs="Arial"/>
          <w:szCs w:val="24"/>
        </w:rPr>
        <w:t xml:space="preserve"> the XG was added last</w:t>
      </w:r>
      <w:r w:rsidR="007D5132">
        <w:rPr>
          <w:rFonts w:cs="Arial"/>
          <w:szCs w:val="24"/>
        </w:rPr>
        <w:t xml:space="preserve">, allowing </w:t>
      </w:r>
      <w:r w:rsidR="00D82608">
        <w:rPr>
          <w:rFonts w:cs="Arial"/>
          <w:szCs w:val="24"/>
        </w:rPr>
        <w:t>for t</w:t>
      </w:r>
      <w:r w:rsidR="007A75F2">
        <w:rPr>
          <w:rFonts w:cs="Arial"/>
          <w:szCs w:val="24"/>
        </w:rPr>
        <w:t>he weight percent</w:t>
      </w:r>
      <w:r w:rsidR="00D82608">
        <w:rPr>
          <w:rFonts w:cs="Arial"/>
          <w:szCs w:val="24"/>
        </w:rPr>
        <w:t xml:space="preserve"> of XG added to be </w:t>
      </w:r>
      <w:r w:rsidR="00D82608">
        <w:rPr>
          <w:rFonts w:cs="Arial"/>
          <w:szCs w:val="24"/>
        </w:rPr>
        <w:lastRenderedPageBreak/>
        <w:t>precisely controlled for each solution. However, i</w:t>
      </w:r>
      <w:r w:rsidR="008513E9">
        <w:rPr>
          <w:rFonts w:cs="Arial"/>
          <w:szCs w:val="24"/>
        </w:rPr>
        <w:t>t is typical for the XG to be added</w:t>
      </w:r>
      <w:r w:rsidR="007D5132">
        <w:rPr>
          <w:rFonts w:cs="Arial"/>
          <w:szCs w:val="24"/>
        </w:rPr>
        <w:t xml:space="preserve"> directly to glycerol prior to mixing all other components together, </w:t>
      </w:r>
      <w:r w:rsidR="00662FF1">
        <w:rPr>
          <w:rFonts w:cs="Arial"/>
          <w:szCs w:val="24"/>
        </w:rPr>
        <w:t>to reduce mixing time</w:t>
      </w:r>
      <w:r w:rsidR="008513E9">
        <w:rPr>
          <w:rFonts w:cs="Arial"/>
          <w:szCs w:val="24"/>
        </w:rPr>
        <w:t xml:space="preserve">. </w:t>
      </w:r>
      <w:r w:rsidR="00D82608">
        <w:rPr>
          <w:rFonts w:cs="Arial"/>
          <w:szCs w:val="24"/>
        </w:rPr>
        <w:t xml:space="preserve">The latter method changes the </w:t>
      </w:r>
      <w:r w:rsidR="007A75F2">
        <w:rPr>
          <w:rFonts w:cs="Arial"/>
          <w:szCs w:val="24"/>
        </w:rPr>
        <w:t>weight percent</w:t>
      </w:r>
      <w:r w:rsidR="00D82608">
        <w:rPr>
          <w:rFonts w:cs="Arial"/>
          <w:szCs w:val="24"/>
        </w:rPr>
        <w:t xml:space="preserve"> of XG in the final solution, often significantly</w:t>
      </w:r>
      <w:r w:rsidR="00A5566C">
        <w:rPr>
          <w:rFonts w:cs="Arial"/>
          <w:szCs w:val="24"/>
        </w:rPr>
        <w:t>,</w:t>
      </w:r>
      <w:r w:rsidR="00D82608">
        <w:rPr>
          <w:rFonts w:cs="Arial"/>
          <w:szCs w:val="24"/>
        </w:rPr>
        <w:t xml:space="preserve"> because of the </w:t>
      </w:r>
      <w:r w:rsidR="007A75F2">
        <w:rPr>
          <w:rFonts w:cs="Arial"/>
          <w:szCs w:val="24"/>
        </w:rPr>
        <w:t>small weight percent</w:t>
      </w:r>
      <w:r w:rsidR="00D82608">
        <w:rPr>
          <w:rFonts w:cs="Arial"/>
          <w:szCs w:val="24"/>
        </w:rPr>
        <w:t xml:space="preserve"> of XG used. For example, as reported in </w:t>
      </w:r>
      <w:proofErr w:type="spellStart"/>
      <w:r w:rsidR="00D82608">
        <w:rPr>
          <w:rFonts w:cs="Arial"/>
          <w:szCs w:val="24"/>
        </w:rPr>
        <w:t>Najjari</w:t>
      </w:r>
      <w:proofErr w:type="spellEnd"/>
      <w:r w:rsidR="00D82608">
        <w:rPr>
          <w:rFonts w:cs="Arial"/>
          <w:szCs w:val="24"/>
        </w:rPr>
        <w:t xml:space="preserve"> et al. (2016), the </w:t>
      </w:r>
      <w:proofErr w:type="spellStart"/>
      <w:r w:rsidR="00D82608">
        <w:rPr>
          <w:rFonts w:cs="Arial"/>
          <w:szCs w:val="24"/>
        </w:rPr>
        <w:t>wt</w:t>
      </w:r>
      <w:proofErr w:type="spellEnd"/>
      <w:r w:rsidR="00D82608">
        <w:rPr>
          <w:rFonts w:cs="Arial"/>
          <w:szCs w:val="24"/>
        </w:rPr>
        <w:t xml:space="preserve">% of XG was 0.06 with no </w:t>
      </w:r>
      <w:proofErr w:type="spellStart"/>
      <w:r w:rsidR="00D82608">
        <w:rPr>
          <w:rFonts w:cs="Arial"/>
          <w:szCs w:val="24"/>
        </w:rPr>
        <w:t>NaI</w:t>
      </w:r>
      <w:proofErr w:type="spellEnd"/>
      <w:r w:rsidR="00D82608">
        <w:rPr>
          <w:rFonts w:cs="Arial"/>
          <w:szCs w:val="24"/>
        </w:rPr>
        <w:t xml:space="preserve"> added but decreased to </w:t>
      </w:r>
      <w:r w:rsidR="00ED3013">
        <w:rPr>
          <w:rFonts w:cs="Arial"/>
          <w:szCs w:val="24"/>
        </w:rPr>
        <w:t xml:space="preserve">0.044 </w:t>
      </w:r>
      <w:r w:rsidR="00D82608">
        <w:rPr>
          <w:rFonts w:cs="Arial"/>
          <w:szCs w:val="24"/>
        </w:rPr>
        <w:t xml:space="preserve">and 0.028 </w:t>
      </w:r>
      <w:proofErr w:type="spellStart"/>
      <w:r w:rsidR="00D82608">
        <w:rPr>
          <w:rFonts w:cs="Arial"/>
          <w:szCs w:val="24"/>
        </w:rPr>
        <w:t>wt</w:t>
      </w:r>
      <w:proofErr w:type="spellEnd"/>
      <w:r w:rsidR="00D82608">
        <w:rPr>
          <w:rFonts w:cs="Arial"/>
          <w:szCs w:val="24"/>
        </w:rPr>
        <w:t xml:space="preserve">% </w:t>
      </w:r>
      <w:r w:rsidR="00ED3013">
        <w:rPr>
          <w:rFonts w:cs="Arial"/>
          <w:szCs w:val="24"/>
        </w:rPr>
        <w:t>XG</w:t>
      </w:r>
      <w:r w:rsidR="00D82608">
        <w:rPr>
          <w:rFonts w:cs="Arial"/>
          <w:szCs w:val="24"/>
        </w:rPr>
        <w:t xml:space="preserve"> </w:t>
      </w:r>
      <w:r w:rsidR="00ED3013">
        <w:rPr>
          <w:rFonts w:cs="Arial"/>
          <w:szCs w:val="24"/>
        </w:rPr>
        <w:t xml:space="preserve">for 26.87 and 55.46 </w:t>
      </w:r>
      <w:proofErr w:type="spellStart"/>
      <w:r w:rsidR="00ED3013">
        <w:rPr>
          <w:rFonts w:cs="Arial"/>
          <w:szCs w:val="24"/>
        </w:rPr>
        <w:t>wt</w:t>
      </w:r>
      <w:proofErr w:type="spellEnd"/>
      <w:r w:rsidR="00ED3013">
        <w:rPr>
          <w:rFonts w:cs="Arial"/>
          <w:szCs w:val="24"/>
        </w:rPr>
        <w:t xml:space="preserve">% </w:t>
      </w:r>
      <w:proofErr w:type="spellStart"/>
      <w:r w:rsidR="00ED3013">
        <w:rPr>
          <w:rFonts w:cs="Arial"/>
          <w:szCs w:val="24"/>
        </w:rPr>
        <w:t>NaI</w:t>
      </w:r>
      <w:proofErr w:type="spellEnd"/>
      <w:r w:rsidR="00ED3013">
        <w:rPr>
          <w:rFonts w:cs="Arial"/>
          <w:szCs w:val="24"/>
        </w:rPr>
        <w:t xml:space="preserve"> added, respectively</w:t>
      </w:r>
      <w:r w:rsidR="00D82608">
        <w:rPr>
          <w:rFonts w:cs="Arial"/>
          <w:szCs w:val="24"/>
        </w:rPr>
        <w:t xml:space="preserve">. </w:t>
      </w:r>
      <w:r w:rsidR="00266D47" w:rsidRPr="00E51D4C">
        <w:rPr>
          <w:rFonts w:cs="Arial"/>
          <w:szCs w:val="24"/>
        </w:rPr>
        <w:t xml:space="preserve">Further, the change in </w:t>
      </w:r>
      <w:proofErr w:type="spellStart"/>
      <w:r w:rsidR="00266D47" w:rsidRPr="00E51D4C">
        <w:rPr>
          <w:rFonts w:cs="Arial"/>
          <w:szCs w:val="24"/>
        </w:rPr>
        <w:t>NaI</w:t>
      </w:r>
      <w:proofErr w:type="spellEnd"/>
      <w:r w:rsidR="00266D47" w:rsidRPr="00E51D4C">
        <w:rPr>
          <w:rFonts w:cs="Arial"/>
          <w:szCs w:val="24"/>
        </w:rPr>
        <w:t xml:space="preserve"> shear-thinning observed in that work closely resembles the</w:t>
      </w:r>
      <w:r w:rsidR="00662FF1" w:rsidRPr="00E51D4C">
        <w:rPr>
          <w:rFonts w:cs="Arial"/>
          <w:szCs w:val="24"/>
        </w:rPr>
        <w:t xml:space="preserve"> change</w:t>
      </w:r>
      <w:r w:rsidR="00266D47" w:rsidRPr="00E51D4C">
        <w:rPr>
          <w:rFonts w:cs="Arial"/>
          <w:szCs w:val="24"/>
        </w:rPr>
        <w:t xml:space="preserve"> observed in Figure 4 when</w:t>
      </w:r>
      <w:r w:rsidR="000711D4" w:rsidRPr="00E51D4C">
        <w:rPr>
          <w:rFonts w:cs="Arial"/>
          <w:szCs w:val="24"/>
        </w:rPr>
        <w:t xml:space="preserve"> only the </w:t>
      </w:r>
      <w:r w:rsidR="00662FF1" w:rsidRPr="00E51D4C">
        <w:rPr>
          <w:rFonts w:cs="Arial"/>
          <w:szCs w:val="24"/>
        </w:rPr>
        <w:t xml:space="preserve">XG weight percent </w:t>
      </w:r>
      <w:r w:rsidR="00266D47" w:rsidRPr="00E51D4C">
        <w:rPr>
          <w:rFonts w:cs="Arial"/>
          <w:szCs w:val="24"/>
        </w:rPr>
        <w:t>is reduced</w:t>
      </w:r>
      <w:r w:rsidR="00833EF9">
        <w:rPr>
          <w:rFonts w:cs="Arial"/>
          <w:szCs w:val="24"/>
        </w:rPr>
        <w:t xml:space="preserve">, though </w:t>
      </w:r>
      <w:r w:rsidR="00E51D4C" w:rsidRPr="00E51D4C">
        <w:rPr>
          <w:rFonts w:cs="Arial"/>
          <w:szCs w:val="24"/>
        </w:rPr>
        <w:t>i</w:t>
      </w:r>
      <w:r w:rsidR="007D5132" w:rsidRPr="00E51D4C">
        <w:rPr>
          <w:rFonts w:cs="Arial"/>
          <w:szCs w:val="24"/>
        </w:rPr>
        <w:t>t</w:t>
      </w:r>
      <w:r w:rsidR="00F87662" w:rsidRPr="00E51D4C">
        <w:rPr>
          <w:rFonts w:cs="Arial"/>
          <w:szCs w:val="24"/>
        </w:rPr>
        <w:t xml:space="preserve"> cannot be</w:t>
      </w:r>
      <w:r w:rsidR="000A05E0" w:rsidRPr="00E51D4C">
        <w:rPr>
          <w:rFonts w:cs="Arial"/>
          <w:szCs w:val="24"/>
        </w:rPr>
        <w:t xml:space="preserve"> </w:t>
      </w:r>
      <w:r w:rsidR="00266D47" w:rsidRPr="00E51D4C">
        <w:rPr>
          <w:rFonts w:cs="Arial"/>
          <w:szCs w:val="24"/>
        </w:rPr>
        <w:t xml:space="preserve">specifically </w:t>
      </w:r>
      <w:r w:rsidR="000A05E0" w:rsidRPr="00E51D4C">
        <w:rPr>
          <w:rFonts w:cs="Arial"/>
          <w:szCs w:val="24"/>
        </w:rPr>
        <w:t xml:space="preserve">determined </w:t>
      </w:r>
      <w:r w:rsidR="00266D47" w:rsidRPr="00E51D4C">
        <w:rPr>
          <w:rFonts w:cs="Arial"/>
          <w:szCs w:val="24"/>
        </w:rPr>
        <w:t xml:space="preserve">from these observations </w:t>
      </w:r>
      <w:r w:rsidR="000A05E0" w:rsidRPr="00E51D4C">
        <w:rPr>
          <w:rFonts w:cs="Arial"/>
          <w:szCs w:val="24"/>
        </w:rPr>
        <w:t xml:space="preserve">to what degree </w:t>
      </w:r>
      <w:r w:rsidR="00662FF1" w:rsidRPr="00E51D4C">
        <w:rPr>
          <w:rFonts w:cs="Arial"/>
          <w:szCs w:val="24"/>
        </w:rPr>
        <w:t xml:space="preserve">the </w:t>
      </w:r>
      <w:r w:rsidR="00A128CD" w:rsidRPr="00E51D4C">
        <w:rPr>
          <w:rFonts w:cs="Arial"/>
          <w:szCs w:val="24"/>
        </w:rPr>
        <w:t xml:space="preserve">reported </w:t>
      </w:r>
      <w:r w:rsidR="00662FF1" w:rsidRPr="00E51D4C">
        <w:rPr>
          <w:rFonts w:cs="Arial"/>
          <w:szCs w:val="24"/>
        </w:rPr>
        <w:t xml:space="preserve">change </w:t>
      </w:r>
      <w:r w:rsidR="000A05E0" w:rsidRPr="00E51D4C">
        <w:rPr>
          <w:rFonts w:cs="Arial"/>
          <w:szCs w:val="24"/>
        </w:rPr>
        <w:t xml:space="preserve">in shear-thinning viscoelastic properties </w:t>
      </w:r>
      <w:r w:rsidR="00266D47" w:rsidRPr="00E51D4C">
        <w:rPr>
          <w:rFonts w:cs="Arial"/>
          <w:szCs w:val="24"/>
        </w:rPr>
        <w:t xml:space="preserve">in that work was </w:t>
      </w:r>
      <w:r w:rsidR="000A05E0" w:rsidRPr="00E51D4C">
        <w:rPr>
          <w:rFonts w:cs="Arial"/>
          <w:szCs w:val="24"/>
        </w:rPr>
        <w:t xml:space="preserve">caused by the addition of </w:t>
      </w:r>
      <w:proofErr w:type="spellStart"/>
      <w:r w:rsidR="000A05E0" w:rsidRPr="00E51D4C">
        <w:rPr>
          <w:rFonts w:cs="Arial"/>
          <w:szCs w:val="24"/>
        </w:rPr>
        <w:t>NaI</w:t>
      </w:r>
      <w:proofErr w:type="spellEnd"/>
      <w:r w:rsidR="000A05E0" w:rsidRPr="00E51D4C">
        <w:rPr>
          <w:rFonts w:cs="Arial"/>
          <w:szCs w:val="24"/>
        </w:rPr>
        <w:t xml:space="preserve"> versus</w:t>
      </w:r>
      <w:r w:rsidR="00662FF1" w:rsidRPr="00E51D4C">
        <w:rPr>
          <w:rFonts w:cs="Arial"/>
          <w:szCs w:val="24"/>
        </w:rPr>
        <w:t xml:space="preserve"> the reduction in XG weight percent</w:t>
      </w:r>
      <w:r w:rsidR="00266D47" w:rsidRPr="00E51D4C">
        <w:rPr>
          <w:rFonts w:cs="Arial"/>
          <w:szCs w:val="24"/>
        </w:rPr>
        <w:t>.</w:t>
      </w:r>
      <w:r w:rsidR="00266D47">
        <w:rPr>
          <w:rFonts w:cs="Arial"/>
          <w:szCs w:val="24"/>
        </w:rPr>
        <w:t xml:space="preserve"> Therefore, f</w:t>
      </w:r>
      <w:r w:rsidR="000A05E0">
        <w:rPr>
          <w:rFonts w:cs="Arial"/>
          <w:szCs w:val="24"/>
        </w:rPr>
        <w:t>uture</w:t>
      </w:r>
      <w:r w:rsidR="00E20384">
        <w:rPr>
          <w:rFonts w:cs="Arial"/>
          <w:szCs w:val="24"/>
        </w:rPr>
        <w:t xml:space="preserve"> studies </w:t>
      </w:r>
      <w:r w:rsidR="000A05E0">
        <w:rPr>
          <w:rFonts w:cs="Arial"/>
          <w:szCs w:val="24"/>
        </w:rPr>
        <w:t>are needed to</w:t>
      </w:r>
      <w:r w:rsidR="00266D47">
        <w:rPr>
          <w:rFonts w:cs="Arial"/>
          <w:szCs w:val="24"/>
        </w:rPr>
        <w:t xml:space="preserve"> </w:t>
      </w:r>
      <w:r w:rsidR="003D1CE1">
        <w:rPr>
          <w:rFonts w:cs="Arial"/>
          <w:szCs w:val="24"/>
        </w:rPr>
        <w:t xml:space="preserve">explore this and </w:t>
      </w:r>
      <w:r w:rsidR="00E20384">
        <w:rPr>
          <w:rFonts w:cs="Arial"/>
          <w:szCs w:val="24"/>
        </w:rPr>
        <w:t xml:space="preserve">investigate the viscoelastic properties </w:t>
      </w:r>
      <w:r w:rsidR="00A128CD">
        <w:rPr>
          <w:rFonts w:cs="Arial"/>
          <w:szCs w:val="24"/>
        </w:rPr>
        <w:t xml:space="preserve">of </w:t>
      </w:r>
      <w:r w:rsidR="000A05E0">
        <w:rPr>
          <w:rFonts w:cs="Arial"/>
          <w:szCs w:val="24"/>
        </w:rPr>
        <w:t>higher</w:t>
      </w:r>
      <w:r w:rsidR="00E20384">
        <w:rPr>
          <w:rFonts w:cs="Arial"/>
          <w:szCs w:val="24"/>
        </w:rPr>
        <w:t xml:space="preserve"> </w:t>
      </w:r>
      <w:proofErr w:type="spellStart"/>
      <w:r w:rsidR="00E20384">
        <w:rPr>
          <w:rFonts w:cs="Arial"/>
          <w:szCs w:val="24"/>
        </w:rPr>
        <w:t>wt</w:t>
      </w:r>
      <w:proofErr w:type="spellEnd"/>
      <w:r w:rsidR="00E20384">
        <w:rPr>
          <w:rFonts w:cs="Arial"/>
          <w:szCs w:val="24"/>
        </w:rPr>
        <w:t xml:space="preserve">% </w:t>
      </w:r>
      <w:proofErr w:type="spellStart"/>
      <w:r w:rsidR="00E20384">
        <w:rPr>
          <w:rFonts w:cs="Arial"/>
          <w:szCs w:val="24"/>
        </w:rPr>
        <w:t>NaI</w:t>
      </w:r>
      <w:proofErr w:type="spellEnd"/>
      <w:r w:rsidR="00E20384">
        <w:rPr>
          <w:rFonts w:cs="Arial"/>
          <w:szCs w:val="24"/>
        </w:rPr>
        <w:t>, urea, and other additive</w:t>
      </w:r>
      <w:r w:rsidR="00AB168F">
        <w:rPr>
          <w:rFonts w:cs="Arial"/>
          <w:szCs w:val="24"/>
        </w:rPr>
        <w:t>s</w:t>
      </w:r>
      <w:r w:rsidR="00F77700">
        <w:rPr>
          <w:rFonts w:cs="Arial"/>
          <w:szCs w:val="24"/>
        </w:rPr>
        <w:t xml:space="preserve"> w</w:t>
      </w:r>
      <w:r w:rsidR="007D5132">
        <w:rPr>
          <w:rFonts w:cs="Arial"/>
          <w:szCs w:val="24"/>
        </w:rPr>
        <w:t>ith</w:t>
      </w:r>
      <w:r w:rsidR="00F77700">
        <w:rPr>
          <w:rFonts w:cs="Arial"/>
          <w:szCs w:val="24"/>
        </w:rPr>
        <w:t xml:space="preserve"> a fixed weight percent</w:t>
      </w:r>
      <w:r w:rsidR="00E20384">
        <w:rPr>
          <w:rFonts w:cs="Arial"/>
          <w:szCs w:val="24"/>
        </w:rPr>
        <w:t xml:space="preserve"> of XG across all solutions</w:t>
      </w:r>
      <w:r w:rsidR="00B247BF">
        <w:rPr>
          <w:rFonts w:cs="Arial"/>
          <w:szCs w:val="24"/>
        </w:rPr>
        <w:t>.</w:t>
      </w:r>
    </w:p>
    <w:p w14:paraId="72A47CB4" w14:textId="77777777" w:rsidR="00E415BD" w:rsidRPr="0058134C" w:rsidRDefault="00E415BD" w:rsidP="00E415BD">
      <w:pPr>
        <w:ind w:firstLine="450"/>
        <w:rPr>
          <w:rFonts w:cs="Arial"/>
          <w:sz w:val="20"/>
        </w:rPr>
      </w:pPr>
    </w:p>
    <w:p w14:paraId="2B510B5D" w14:textId="77777777" w:rsidR="00CB4F34" w:rsidRDefault="00CB4F34" w:rsidP="00CB4F34">
      <w:pPr>
        <w:pStyle w:val="ListParagraph"/>
        <w:numPr>
          <w:ilvl w:val="0"/>
          <w:numId w:val="4"/>
        </w:numPr>
        <w:ind w:left="630" w:hanging="630"/>
        <w:outlineLvl w:val="0"/>
        <w:rPr>
          <w:rFonts w:cs="Arial"/>
          <w:b/>
          <w:sz w:val="32"/>
          <w:szCs w:val="32"/>
        </w:rPr>
      </w:pPr>
      <w:r w:rsidRPr="00CB4F34">
        <w:rPr>
          <w:rFonts w:cs="Arial"/>
          <w:b/>
          <w:sz w:val="32"/>
          <w:szCs w:val="32"/>
        </w:rPr>
        <w:t>Conclusion</w:t>
      </w:r>
    </w:p>
    <w:p w14:paraId="5F2DBFEE" w14:textId="59E9323E" w:rsidR="00CB4F34" w:rsidRPr="003023E6" w:rsidRDefault="006C0B95" w:rsidP="0066573C">
      <w:pPr>
        <w:ind w:firstLine="630"/>
        <w:rPr>
          <w:rFonts w:cs="Arial"/>
        </w:rPr>
      </w:pPr>
      <w:r w:rsidRPr="003023E6">
        <w:rPr>
          <w:rFonts w:cs="Arial"/>
        </w:rPr>
        <w:t>Two-component and three-component Newtonian</w:t>
      </w:r>
      <w:r w:rsidR="00C56B52" w:rsidRPr="003023E6">
        <w:rPr>
          <w:rFonts w:cs="Arial"/>
        </w:rPr>
        <w:t xml:space="preserve"> and non-Newtonian</w:t>
      </w:r>
      <w:r w:rsidRPr="003023E6">
        <w:rPr>
          <w:rFonts w:cs="Arial"/>
        </w:rPr>
        <w:t xml:space="preserve"> </w:t>
      </w:r>
      <w:r w:rsidR="00AC076B">
        <w:rPr>
          <w:rFonts w:cs="Arial"/>
        </w:rPr>
        <w:t>blood analog solutions for use with PDMS and optical imaging</w:t>
      </w:r>
      <w:r w:rsidR="00381660">
        <w:rPr>
          <w:rFonts w:cs="Arial"/>
        </w:rPr>
        <w:t xml:space="preserve"> were studied </w:t>
      </w:r>
      <w:r w:rsidR="00AC076B">
        <w:rPr>
          <w:rFonts w:cs="Arial"/>
        </w:rPr>
        <w:t xml:space="preserve">here. In this work, we </w:t>
      </w:r>
      <w:r w:rsidR="00381660">
        <w:rPr>
          <w:rFonts w:cs="Arial"/>
        </w:rPr>
        <w:t>characterize</w:t>
      </w:r>
      <w:r w:rsidR="00AC076B">
        <w:rPr>
          <w:rFonts w:cs="Arial"/>
        </w:rPr>
        <w:t>d</w:t>
      </w:r>
      <w:r w:rsidRPr="003023E6">
        <w:rPr>
          <w:rFonts w:cs="Arial"/>
        </w:rPr>
        <w:t xml:space="preserve"> urea and xylitol as </w:t>
      </w:r>
      <w:r w:rsidR="00C56B52" w:rsidRPr="003023E6">
        <w:rPr>
          <w:rFonts w:cs="Arial"/>
        </w:rPr>
        <w:t xml:space="preserve">additives to </w:t>
      </w:r>
      <w:r w:rsidR="00AC076B">
        <w:rPr>
          <w:rFonts w:cs="Arial"/>
        </w:rPr>
        <w:t xml:space="preserve">water and </w:t>
      </w:r>
      <w:r w:rsidR="00C56B52" w:rsidRPr="003023E6">
        <w:rPr>
          <w:rFonts w:cs="Arial"/>
        </w:rPr>
        <w:t>water-gl</w:t>
      </w:r>
      <w:r w:rsidR="00381660">
        <w:rPr>
          <w:rFonts w:cs="Arial"/>
        </w:rPr>
        <w:t xml:space="preserve">ycerol </w:t>
      </w:r>
      <w:r w:rsidR="00AC076B">
        <w:rPr>
          <w:rFonts w:cs="Arial"/>
        </w:rPr>
        <w:t xml:space="preserve">blood analog </w:t>
      </w:r>
      <w:r w:rsidR="00381660">
        <w:rPr>
          <w:rFonts w:cs="Arial"/>
        </w:rPr>
        <w:t xml:space="preserve">mixtures </w:t>
      </w:r>
      <w:r w:rsidR="00AA1670">
        <w:rPr>
          <w:rFonts w:cs="Arial"/>
        </w:rPr>
        <w:t xml:space="preserve">as low-density alternatives to </w:t>
      </w:r>
      <w:proofErr w:type="spellStart"/>
      <w:r w:rsidR="00AA1670">
        <w:rPr>
          <w:rFonts w:cs="Arial"/>
        </w:rPr>
        <w:t>NaI</w:t>
      </w:r>
      <w:proofErr w:type="spellEnd"/>
      <w:r w:rsidR="00AA1670">
        <w:rPr>
          <w:rFonts w:cs="Arial"/>
        </w:rPr>
        <w:t>. The addition of urea to Newtonian water-glycerol solutions resulted in a blood analog that</w:t>
      </w:r>
      <w:r w:rsidR="0056019A">
        <w:rPr>
          <w:rFonts w:cs="Arial"/>
        </w:rPr>
        <w:t xml:space="preserve"> simultaneously</w:t>
      </w:r>
      <w:r w:rsidRPr="003023E6">
        <w:rPr>
          <w:rFonts w:cs="Arial"/>
        </w:rPr>
        <w:t xml:space="preserve"> match</w:t>
      </w:r>
      <w:r w:rsidR="00AA1670">
        <w:rPr>
          <w:rFonts w:cs="Arial"/>
        </w:rPr>
        <w:t>ed</w:t>
      </w:r>
      <w:r w:rsidRPr="003023E6">
        <w:rPr>
          <w:rFonts w:cs="Arial"/>
        </w:rPr>
        <w:t xml:space="preserve"> bl</w:t>
      </w:r>
      <w:r w:rsidR="0032621C" w:rsidRPr="003023E6">
        <w:rPr>
          <w:rFonts w:cs="Arial"/>
        </w:rPr>
        <w:t>ood</w:t>
      </w:r>
      <w:r w:rsidR="00AA1670">
        <w:rPr>
          <w:rFonts w:cs="Arial"/>
        </w:rPr>
        <w:t xml:space="preserve"> density,</w:t>
      </w:r>
      <w:r w:rsidRPr="003023E6">
        <w:rPr>
          <w:rFonts w:cs="Arial"/>
        </w:rPr>
        <w:t xml:space="preserve"> viscosity</w:t>
      </w:r>
      <w:r w:rsidR="00981975">
        <w:rPr>
          <w:rFonts w:cs="Arial"/>
        </w:rPr>
        <w:t>,</w:t>
      </w:r>
      <w:r w:rsidR="0032621C" w:rsidRPr="003023E6">
        <w:rPr>
          <w:rFonts w:cs="Arial"/>
        </w:rPr>
        <w:t xml:space="preserve"> and</w:t>
      </w:r>
      <w:r w:rsidR="00B02BC0">
        <w:rPr>
          <w:rFonts w:cs="Arial"/>
        </w:rPr>
        <w:t xml:space="preserve"> the RI of PDMS</w:t>
      </w:r>
      <w:r w:rsidR="002C00DD">
        <w:rPr>
          <w:rFonts w:cs="Arial"/>
        </w:rPr>
        <w:t xml:space="preserve">. In contrast, </w:t>
      </w:r>
      <w:proofErr w:type="spellStart"/>
      <w:r w:rsidR="002C00DD">
        <w:rPr>
          <w:rFonts w:cs="Arial"/>
        </w:rPr>
        <w:t>NaI</w:t>
      </w:r>
      <w:proofErr w:type="spellEnd"/>
      <w:r w:rsidR="002C00DD">
        <w:rPr>
          <w:rFonts w:cs="Arial"/>
        </w:rPr>
        <w:t xml:space="preserve"> increased fluid density by about 6.0 kg/m</w:t>
      </w:r>
      <w:r w:rsidR="002C00DD" w:rsidRPr="002C00DD">
        <w:rPr>
          <w:rFonts w:cs="Arial"/>
          <w:vertAlign w:val="superscript"/>
        </w:rPr>
        <w:t>3</w:t>
      </w:r>
      <w:r w:rsidR="00714BAE">
        <w:rPr>
          <w:rFonts w:cs="Arial"/>
        </w:rPr>
        <w:t xml:space="preserve"> per weight percent</w:t>
      </w:r>
      <w:r w:rsidR="002C00DD">
        <w:rPr>
          <w:rFonts w:cs="Arial"/>
        </w:rPr>
        <w:t xml:space="preserve"> added, making water-glycerol-</w:t>
      </w:r>
      <w:proofErr w:type="spellStart"/>
      <w:r w:rsidR="002C00DD">
        <w:rPr>
          <w:rFonts w:cs="Arial"/>
        </w:rPr>
        <w:t>NaI</w:t>
      </w:r>
      <w:proofErr w:type="spellEnd"/>
      <w:r w:rsidR="002C00DD">
        <w:rPr>
          <w:rFonts w:cs="Arial"/>
        </w:rPr>
        <w:t xml:space="preserve"> solutions with densities well above that of blood</w:t>
      </w:r>
      <w:r w:rsidR="00514464">
        <w:rPr>
          <w:rFonts w:cs="Arial"/>
        </w:rPr>
        <w:t>.</w:t>
      </w:r>
      <w:r w:rsidR="006B6434">
        <w:rPr>
          <w:rFonts w:cs="Arial"/>
        </w:rPr>
        <w:t xml:space="preserve"> </w:t>
      </w:r>
      <w:r w:rsidR="0066573C">
        <w:rPr>
          <w:rFonts w:cs="Arial"/>
        </w:rPr>
        <w:t>Urea is relatively inexpensive</w:t>
      </w:r>
      <w:r w:rsidR="00AC076B">
        <w:rPr>
          <w:rFonts w:cs="Arial"/>
        </w:rPr>
        <w:t>, safe, a</w:t>
      </w:r>
      <w:r w:rsidR="00FF294D">
        <w:rPr>
          <w:rFonts w:cs="Arial"/>
        </w:rPr>
        <w:t>nd easy to work with</w:t>
      </w:r>
      <w:r w:rsidR="00826E67">
        <w:rPr>
          <w:rFonts w:cs="Arial"/>
        </w:rPr>
        <w:t xml:space="preserve">. </w:t>
      </w:r>
      <w:r w:rsidR="00853D3A">
        <w:rPr>
          <w:rFonts w:cs="Arial"/>
        </w:rPr>
        <w:t xml:space="preserve">Water-xylitol and water-xylitol-urea were </w:t>
      </w:r>
      <w:r w:rsidR="002C00DD">
        <w:rPr>
          <w:rFonts w:cs="Arial"/>
        </w:rPr>
        <w:t xml:space="preserve">also </w:t>
      </w:r>
      <w:r w:rsidR="00853D3A">
        <w:rPr>
          <w:rFonts w:cs="Arial"/>
        </w:rPr>
        <w:t xml:space="preserve">found to be adjustable for a wide range of refractive indices while meeting blood analog criteria, particularly low blood viscosities. For non-Newtonian testing using XG-water-glycerol solutions, urea and </w:t>
      </w:r>
      <w:proofErr w:type="spellStart"/>
      <w:r w:rsidR="00853D3A">
        <w:rPr>
          <w:rFonts w:cs="Arial"/>
        </w:rPr>
        <w:t>NaI</w:t>
      </w:r>
      <w:proofErr w:type="spellEnd"/>
      <w:r w:rsidR="00853D3A">
        <w:rPr>
          <w:rFonts w:cs="Arial"/>
        </w:rPr>
        <w:t xml:space="preserve"> maintained similar shear-thinning </w:t>
      </w:r>
      <w:r w:rsidR="00A54984">
        <w:rPr>
          <w:rFonts w:cs="Arial"/>
        </w:rPr>
        <w:t xml:space="preserve">properties. </w:t>
      </w:r>
      <w:r w:rsidR="003629E2">
        <w:rPr>
          <w:rFonts w:cs="Arial"/>
        </w:rPr>
        <w:t>These results also show</w:t>
      </w:r>
      <w:r w:rsidR="00E8757D">
        <w:rPr>
          <w:rFonts w:cs="Arial"/>
        </w:rPr>
        <w:t>ed</w:t>
      </w:r>
      <w:r w:rsidR="003629E2">
        <w:rPr>
          <w:rFonts w:cs="Arial"/>
        </w:rPr>
        <w:t xml:space="preserve"> that the viscoelastic properties</w:t>
      </w:r>
      <w:r w:rsidR="00751293">
        <w:rPr>
          <w:rFonts w:cs="Arial"/>
        </w:rPr>
        <w:t xml:space="preserve"> of the non-Newtonian fluids were</w:t>
      </w:r>
      <w:r w:rsidR="00B02BC0">
        <w:rPr>
          <w:rFonts w:cs="Arial"/>
        </w:rPr>
        <w:t xml:space="preserve"> primarily affected by weight percent</w:t>
      </w:r>
      <w:r w:rsidR="003629E2">
        <w:rPr>
          <w:rFonts w:cs="Arial"/>
        </w:rPr>
        <w:t xml:space="preserve"> XG</w:t>
      </w:r>
      <w:r w:rsidR="00755227">
        <w:rPr>
          <w:rFonts w:cs="Arial"/>
        </w:rPr>
        <w:t>,</w:t>
      </w:r>
      <w:r w:rsidR="00B02BC0">
        <w:rPr>
          <w:rFonts w:cs="Arial"/>
        </w:rPr>
        <w:t xml:space="preserve"> while weight percent</w:t>
      </w:r>
      <w:r w:rsidR="003629E2">
        <w:rPr>
          <w:rFonts w:cs="Arial"/>
        </w:rPr>
        <w:t xml:space="preserve"> additive</w:t>
      </w:r>
      <w:r w:rsidR="005E1C78">
        <w:rPr>
          <w:rFonts w:cs="Arial"/>
        </w:rPr>
        <w:t xml:space="preserve"> </w:t>
      </w:r>
      <w:r w:rsidR="00755227">
        <w:rPr>
          <w:rFonts w:cs="Arial"/>
        </w:rPr>
        <w:t xml:space="preserve">in the studied range (about 15-25%) </w:t>
      </w:r>
      <w:r w:rsidR="005E1C78">
        <w:rPr>
          <w:rFonts w:cs="Arial"/>
        </w:rPr>
        <w:t>had a smaller</w:t>
      </w:r>
      <w:r w:rsidR="00B02BC0">
        <w:rPr>
          <w:rFonts w:cs="Arial"/>
        </w:rPr>
        <w:t xml:space="preserve"> effect</w:t>
      </w:r>
      <w:r w:rsidR="003629E2">
        <w:rPr>
          <w:rFonts w:cs="Arial"/>
        </w:rPr>
        <w:t xml:space="preserve">. </w:t>
      </w:r>
      <w:r w:rsidR="00B02BC0">
        <w:rPr>
          <w:rFonts w:cs="Arial"/>
        </w:rPr>
        <w:t xml:space="preserve">These results demonstrate </w:t>
      </w:r>
      <w:r w:rsidR="00751293">
        <w:rPr>
          <w:rFonts w:cs="Arial"/>
        </w:rPr>
        <w:t>that</w:t>
      </w:r>
      <w:r w:rsidR="00B72D12">
        <w:rPr>
          <w:rFonts w:cs="Arial"/>
        </w:rPr>
        <w:t xml:space="preserve"> ure</w:t>
      </w:r>
      <w:r w:rsidR="006B6434">
        <w:rPr>
          <w:rFonts w:cs="Arial"/>
        </w:rPr>
        <w:t xml:space="preserve">a </w:t>
      </w:r>
      <w:r w:rsidR="005B5AAC">
        <w:rPr>
          <w:rFonts w:cs="Arial"/>
        </w:rPr>
        <w:t xml:space="preserve">should be considered as an </w:t>
      </w:r>
      <w:r w:rsidR="00975BD8">
        <w:rPr>
          <w:rFonts w:cs="Arial"/>
        </w:rPr>
        <w:t xml:space="preserve">affordable and </w:t>
      </w:r>
      <w:r w:rsidR="00B02BC0">
        <w:rPr>
          <w:rFonts w:cs="Arial"/>
        </w:rPr>
        <w:t>simple</w:t>
      </w:r>
      <w:r w:rsidR="00975BD8">
        <w:rPr>
          <w:rFonts w:cs="Arial"/>
        </w:rPr>
        <w:t xml:space="preserve"> way to adjust the RI of working fluids</w:t>
      </w:r>
      <w:r w:rsidR="00181D97">
        <w:rPr>
          <w:rFonts w:cs="Arial"/>
        </w:rPr>
        <w:t>,</w:t>
      </w:r>
      <w:r w:rsidR="00975BD8">
        <w:rPr>
          <w:rFonts w:cs="Arial"/>
        </w:rPr>
        <w:t xml:space="preserve"> while only slightly altering t</w:t>
      </w:r>
      <w:r w:rsidR="00B72D12">
        <w:rPr>
          <w:rFonts w:cs="Arial"/>
        </w:rPr>
        <w:t>he fluid density and viscosity</w:t>
      </w:r>
      <w:r w:rsidR="00181D97">
        <w:rPr>
          <w:rFonts w:cs="Arial"/>
        </w:rPr>
        <w:t>, for PIV experiments</w:t>
      </w:r>
      <w:r w:rsidR="00B72D12">
        <w:rPr>
          <w:rFonts w:cs="Arial"/>
        </w:rPr>
        <w:t>.</w:t>
      </w:r>
    </w:p>
    <w:p w14:paraId="792902CC" w14:textId="77777777" w:rsidR="001D03D2" w:rsidRPr="00CB4F34" w:rsidRDefault="001D03D2" w:rsidP="00CB4F34"/>
    <w:p w14:paraId="355D372F" w14:textId="77777777" w:rsidR="00CB4F34" w:rsidRDefault="00CB4F34" w:rsidP="00CB4F34">
      <w:pPr>
        <w:pStyle w:val="ListParagraph"/>
        <w:numPr>
          <w:ilvl w:val="0"/>
          <w:numId w:val="4"/>
        </w:numPr>
        <w:ind w:left="630" w:hanging="630"/>
        <w:outlineLvl w:val="0"/>
        <w:rPr>
          <w:rFonts w:cs="Arial"/>
          <w:b/>
          <w:sz w:val="32"/>
          <w:szCs w:val="32"/>
        </w:rPr>
      </w:pPr>
      <w:r>
        <w:rPr>
          <w:rFonts w:cs="Arial"/>
          <w:b/>
          <w:sz w:val="32"/>
          <w:szCs w:val="32"/>
        </w:rPr>
        <w:t>Acknowledgements</w:t>
      </w:r>
    </w:p>
    <w:p w14:paraId="541ACF47" w14:textId="77777777" w:rsidR="00CB4F34" w:rsidRPr="008B02A9" w:rsidRDefault="00CB4F34" w:rsidP="00CB4F34">
      <w:pPr>
        <w:rPr>
          <w:rFonts w:cs="Arial"/>
          <w:szCs w:val="24"/>
        </w:rPr>
      </w:pPr>
      <w:r w:rsidRPr="008B02A9">
        <w:rPr>
          <w:rFonts w:cs="Arial"/>
          <w:szCs w:val="24"/>
        </w:rPr>
        <w:t xml:space="preserve">The </w:t>
      </w:r>
      <w:r w:rsidR="00CC11FE" w:rsidRPr="008B02A9">
        <w:rPr>
          <w:rFonts w:cs="Arial"/>
          <w:szCs w:val="24"/>
        </w:rPr>
        <w:t>support of the American Heart Association pre-doctoral fellowship (17PRE33670268) to Melissa Brindise is gratefully acknowledged.</w:t>
      </w:r>
    </w:p>
    <w:p w14:paraId="238EC264" w14:textId="77777777" w:rsidR="00CB4F34" w:rsidRPr="00CB4F34" w:rsidRDefault="00CB4F34" w:rsidP="00CB4F34">
      <w:pPr>
        <w:rPr>
          <w:rFonts w:cs="Arial"/>
        </w:rPr>
      </w:pPr>
    </w:p>
    <w:p w14:paraId="36C449E0" w14:textId="77777777" w:rsidR="001B4C6D" w:rsidRPr="00CB4F34" w:rsidRDefault="00CB4F34" w:rsidP="00CB4F34">
      <w:pPr>
        <w:pStyle w:val="ListParagraph"/>
        <w:numPr>
          <w:ilvl w:val="0"/>
          <w:numId w:val="4"/>
        </w:numPr>
        <w:ind w:left="630" w:hanging="630"/>
        <w:outlineLvl w:val="0"/>
        <w:rPr>
          <w:rFonts w:cs="Arial"/>
          <w:b/>
          <w:sz w:val="32"/>
          <w:szCs w:val="32"/>
        </w:rPr>
      </w:pPr>
      <w:r>
        <w:rPr>
          <w:rFonts w:cs="Arial"/>
          <w:b/>
          <w:sz w:val="32"/>
          <w:szCs w:val="32"/>
        </w:rPr>
        <w:t>References</w:t>
      </w:r>
    </w:p>
    <w:p w14:paraId="75377BC2" w14:textId="4D418F30" w:rsidR="00215E80" w:rsidRPr="00215E80" w:rsidRDefault="0058134C" w:rsidP="00215E80">
      <w:pPr>
        <w:widowControl w:val="0"/>
        <w:ind w:left="480" w:hanging="480"/>
        <w:rPr>
          <w:rFonts w:cs="Arial"/>
          <w:noProof/>
        </w:rPr>
      </w:pPr>
      <w:r w:rsidRPr="000D4C58">
        <w:rPr>
          <w:rFonts w:cs="Arial"/>
          <w:sz w:val="20"/>
        </w:rPr>
        <w:fldChar w:fldCharType="begin" w:fldLock="1"/>
      </w:r>
      <w:r w:rsidRPr="000D4C58">
        <w:rPr>
          <w:rFonts w:cs="Arial"/>
          <w:sz w:val="20"/>
        </w:rPr>
        <w:instrText xml:space="preserve">ADDIN Mendeley Bibliography CSL_BIBLIOGRAPHY </w:instrText>
      </w:r>
      <w:r w:rsidRPr="000D4C58">
        <w:rPr>
          <w:rFonts w:cs="Arial"/>
          <w:sz w:val="20"/>
        </w:rPr>
        <w:fldChar w:fldCharType="separate"/>
      </w:r>
      <w:r w:rsidR="00215E80" w:rsidRPr="00215E80">
        <w:rPr>
          <w:rFonts w:cs="Arial"/>
          <w:noProof/>
        </w:rPr>
        <w:t>Bai K, Katz J (2014) On the refractive index of sodium iodide solutions for index matching in PIV. Exp Fluids. doi: 10.1007/s00348-014-1704-x</w:t>
      </w:r>
    </w:p>
    <w:p w14:paraId="6C93B47D" w14:textId="77777777" w:rsidR="00215E80" w:rsidRPr="00215E80" w:rsidRDefault="00215E80" w:rsidP="00215E80">
      <w:pPr>
        <w:widowControl w:val="0"/>
        <w:ind w:left="480" w:hanging="480"/>
        <w:rPr>
          <w:rFonts w:cs="Arial"/>
          <w:noProof/>
        </w:rPr>
      </w:pPr>
      <w:r w:rsidRPr="00215E80">
        <w:rPr>
          <w:rFonts w:cs="Arial"/>
          <w:noProof/>
        </w:rPr>
        <w:t>Bale-Glickman J, Selby K, Saloner D, Savaş O (2003) Experimental Flow Studies in Exact-Replica Phantoms of Atherosclerotic Carotid Bifurcations Under Steady Input Conditions. J Biomech Eng 125:38. doi: 10.1115/1.1537734</w:t>
      </w:r>
    </w:p>
    <w:p w14:paraId="798018B7" w14:textId="77777777" w:rsidR="00215E80" w:rsidRPr="00215E80" w:rsidRDefault="00215E80" w:rsidP="00215E80">
      <w:pPr>
        <w:widowControl w:val="0"/>
        <w:ind w:left="480" w:hanging="480"/>
        <w:rPr>
          <w:rFonts w:cs="Arial"/>
          <w:noProof/>
        </w:rPr>
      </w:pPr>
      <w:r w:rsidRPr="00215E80">
        <w:rPr>
          <w:rFonts w:cs="Arial"/>
          <w:noProof/>
        </w:rPr>
        <w:t>Deplano V, Knapp Y, Bailly L, Bertrand E (2014) Flow of a blood analogue fluid in a compliant abdominal aortic aneurysm model: Experimental modelling. J Biomech 47:1262–1269. doi: 10.1016/j.jbiomech.2014.02.026</w:t>
      </w:r>
    </w:p>
    <w:p w14:paraId="424127AE" w14:textId="77777777" w:rsidR="00215E80" w:rsidRPr="00215E80" w:rsidRDefault="00215E80" w:rsidP="00215E80">
      <w:pPr>
        <w:widowControl w:val="0"/>
        <w:ind w:left="480" w:hanging="480"/>
        <w:rPr>
          <w:rFonts w:cs="Arial"/>
          <w:noProof/>
        </w:rPr>
      </w:pPr>
      <w:r w:rsidRPr="00215E80">
        <w:rPr>
          <w:rFonts w:cs="Arial"/>
          <w:noProof/>
        </w:rPr>
        <w:t>Long JA, Ündar A, Manning KB, Deutsch S (2005) Viscoelasticity of pediatric blood and its implications for the testing of a pulsatile pediatric blood pump. ASAIO J 51:563–566. doi: 10.1097/01.mat.0000180353.12963.f2</w:t>
      </w:r>
    </w:p>
    <w:p w14:paraId="589C1A26" w14:textId="77777777" w:rsidR="00215E80" w:rsidRPr="00215E80" w:rsidRDefault="00215E80" w:rsidP="00215E80">
      <w:pPr>
        <w:widowControl w:val="0"/>
        <w:ind w:left="480" w:hanging="480"/>
        <w:rPr>
          <w:rFonts w:cs="Arial"/>
          <w:noProof/>
        </w:rPr>
      </w:pPr>
      <w:r w:rsidRPr="00215E80">
        <w:rPr>
          <w:rFonts w:cs="Arial"/>
          <w:noProof/>
        </w:rPr>
        <w:t>Mayer GA (1964) Blood Viscosity in Healthy Subjects and Patients With Coronary Heart Disease. Can Med Assoc J 91:951–4.</w:t>
      </w:r>
    </w:p>
    <w:p w14:paraId="77A3F8C5" w14:textId="77777777" w:rsidR="00215E80" w:rsidRPr="00215E80" w:rsidRDefault="00215E80" w:rsidP="00215E80">
      <w:pPr>
        <w:widowControl w:val="0"/>
        <w:ind w:left="480" w:hanging="480"/>
        <w:rPr>
          <w:rFonts w:cs="Arial"/>
          <w:noProof/>
        </w:rPr>
      </w:pPr>
      <w:r w:rsidRPr="00215E80">
        <w:rPr>
          <w:rFonts w:cs="Arial"/>
          <w:noProof/>
        </w:rPr>
        <w:t>Najjari MR, Hinke JA, Bulusu K V., Plesniak MW (2016) On the rheology of refractive-index-matched, non-Newtonian blood-analog fluids for PIV experiments. Exp Fluids 57:1–6. doi: 10.1007/s00348-016-2185-x</w:t>
      </w:r>
    </w:p>
    <w:p w14:paraId="688B9D04" w14:textId="77777777" w:rsidR="00215E80" w:rsidRPr="00215E80" w:rsidRDefault="00215E80" w:rsidP="00215E80">
      <w:pPr>
        <w:widowControl w:val="0"/>
        <w:ind w:left="480" w:hanging="480"/>
        <w:rPr>
          <w:rFonts w:cs="Arial"/>
          <w:noProof/>
        </w:rPr>
      </w:pPr>
      <w:r w:rsidRPr="00215E80">
        <w:rPr>
          <w:rFonts w:cs="Arial"/>
          <w:noProof/>
        </w:rPr>
        <w:t>Nguyen TT (2004) A Method for Matching the Refractive Index and Kinematic Viscosity of a Blood Analog for Flow Visualization in Hydraulic Cardiovascular Models. J Biomech Eng 126:529. doi: 10.1115/1.1785812</w:t>
      </w:r>
    </w:p>
    <w:p w14:paraId="4F13A19B" w14:textId="77777777" w:rsidR="00215E80" w:rsidRPr="00215E80" w:rsidRDefault="00215E80" w:rsidP="00215E80">
      <w:pPr>
        <w:widowControl w:val="0"/>
        <w:ind w:left="480" w:hanging="480"/>
        <w:rPr>
          <w:rFonts w:cs="Arial"/>
          <w:noProof/>
        </w:rPr>
      </w:pPr>
      <w:r w:rsidRPr="00215E80">
        <w:rPr>
          <w:rFonts w:cs="Arial"/>
          <w:noProof/>
        </w:rPr>
        <w:t>Patil VA, Liburdy JA (2012) Optical measurement uncertainties due to refractive index mismatch for flow in porous media. Exp Fluids 53:1453–1468. doi: 10.1007/s00348-012-1369-2</w:t>
      </w:r>
    </w:p>
    <w:p w14:paraId="3F2B9A84" w14:textId="77777777" w:rsidR="00215E80" w:rsidRPr="00215E80" w:rsidRDefault="00215E80" w:rsidP="00215E80">
      <w:pPr>
        <w:widowControl w:val="0"/>
        <w:ind w:left="480" w:hanging="480"/>
        <w:rPr>
          <w:rFonts w:cs="Arial"/>
          <w:noProof/>
        </w:rPr>
      </w:pPr>
      <w:r w:rsidRPr="00215E80">
        <w:rPr>
          <w:rFonts w:cs="Arial"/>
          <w:noProof/>
        </w:rPr>
        <w:t>Ramnarine K V., Nassiri DK, Hoskins PR, Lubbers J (1998) Validation of a new blood-mimicking fluid for use in Doppler flow test objects. Ultrasound Med Biol 24:451–459. doi: 10.1016/S0301-5629(97)00277-9</w:t>
      </w:r>
    </w:p>
    <w:p w14:paraId="06D38051" w14:textId="77777777" w:rsidR="00215E80" w:rsidRPr="00215E80" w:rsidRDefault="00215E80" w:rsidP="00215E80">
      <w:pPr>
        <w:widowControl w:val="0"/>
        <w:ind w:left="480" w:hanging="480"/>
        <w:rPr>
          <w:rFonts w:cs="Arial"/>
          <w:noProof/>
        </w:rPr>
      </w:pPr>
      <w:r w:rsidRPr="00215E80">
        <w:rPr>
          <w:rFonts w:cs="Arial"/>
          <w:noProof/>
        </w:rPr>
        <w:t>Shuib AS, Hoskins PR, Easson WJ, Model ASA (2010) Flow Regime Characterization in a Diseased Artery Model. 4:87–91.</w:t>
      </w:r>
    </w:p>
    <w:p w14:paraId="7AEE460A" w14:textId="77777777" w:rsidR="00215E80" w:rsidRPr="00215E80" w:rsidRDefault="00215E80" w:rsidP="00215E80">
      <w:pPr>
        <w:widowControl w:val="0"/>
        <w:ind w:left="480" w:hanging="480"/>
        <w:rPr>
          <w:rFonts w:cs="Arial"/>
          <w:noProof/>
        </w:rPr>
      </w:pPr>
      <w:r w:rsidRPr="00215E80">
        <w:rPr>
          <w:rFonts w:cs="Arial"/>
          <w:noProof/>
        </w:rPr>
        <w:lastRenderedPageBreak/>
        <w:t>Thurston GB (1979) Rheological parameters for the viscosity viscoelasticity and thixotropy of blood. Biorheology 16:149–162.</w:t>
      </w:r>
    </w:p>
    <w:p w14:paraId="2201EAB1" w14:textId="77777777" w:rsidR="00215E80" w:rsidRPr="00215E80" w:rsidRDefault="00215E80" w:rsidP="00215E80">
      <w:pPr>
        <w:widowControl w:val="0"/>
        <w:ind w:left="480" w:hanging="480"/>
        <w:rPr>
          <w:rFonts w:cs="Arial"/>
          <w:noProof/>
        </w:rPr>
      </w:pPr>
      <w:r w:rsidRPr="00215E80">
        <w:rPr>
          <w:rFonts w:cs="Arial"/>
          <w:noProof/>
        </w:rPr>
        <w:t>Warren JR, Gordon JA (1966) On the refractive indices of aqueous solutions of urea. J Phys Chem 70:297–300. doi: 10.1021/j100873a507</w:t>
      </w:r>
    </w:p>
    <w:p w14:paraId="3E9541EC" w14:textId="77777777" w:rsidR="00215E80" w:rsidRPr="00215E80" w:rsidRDefault="00215E80" w:rsidP="00215E80">
      <w:pPr>
        <w:widowControl w:val="0"/>
        <w:ind w:left="480" w:hanging="480"/>
        <w:rPr>
          <w:rFonts w:cs="Arial"/>
          <w:noProof/>
        </w:rPr>
      </w:pPr>
      <w:r w:rsidRPr="00215E80">
        <w:rPr>
          <w:rFonts w:cs="Arial"/>
          <w:noProof/>
        </w:rPr>
        <w:t>Wright SF, Zadrazil I, Markides CN (2017) A review of solid–fluid selection options for optical-based measurements in single-phase liquid, two-phase liquid–liquid and multiphase solid–liquid flows. Springer Berlin Heidelberg</w:t>
      </w:r>
    </w:p>
    <w:p w14:paraId="7F0EC85B" w14:textId="77777777" w:rsidR="00215E80" w:rsidRPr="00215E80" w:rsidRDefault="00215E80" w:rsidP="00215E80">
      <w:pPr>
        <w:widowControl w:val="0"/>
        <w:ind w:left="480" w:hanging="480"/>
        <w:rPr>
          <w:rFonts w:cs="Arial"/>
          <w:noProof/>
        </w:rPr>
      </w:pPr>
      <w:r w:rsidRPr="00215E80">
        <w:rPr>
          <w:rFonts w:cs="Arial"/>
          <w:noProof/>
        </w:rPr>
        <w:t>Yazdi SG, Geoghegan PH, Docherty PD, et al (2018) A Review of Arterial Phantom Fabrication Methods for Flow Measurement Using PIV Techniques. Ann Biomed Eng. doi: 10.1007/s10439-018-2085-8</w:t>
      </w:r>
    </w:p>
    <w:p w14:paraId="75295227" w14:textId="77777777" w:rsidR="00215E80" w:rsidRPr="00215E80" w:rsidRDefault="00215E80" w:rsidP="00215E80">
      <w:pPr>
        <w:widowControl w:val="0"/>
        <w:ind w:left="480" w:hanging="480"/>
        <w:rPr>
          <w:rFonts w:cs="Arial"/>
          <w:noProof/>
        </w:rPr>
      </w:pPr>
      <w:r w:rsidRPr="00215E80">
        <w:rPr>
          <w:rFonts w:cs="Arial"/>
          <w:noProof/>
        </w:rPr>
        <w:t>Yousif MY, Holdsworth DW, Poepping TL (2011) A blood-mimicking fluid for particle image velocimetry with silicone vascular models. Exp Fluids 50:769–774. doi: 10.1007/s00348-010-0958-1</w:t>
      </w:r>
    </w:p>
    <w:p w14:paraId="7DC330F8" w14:textId="2F713BAC" w:rsidR="00124DE7" w:rsidRDefault="0058134C" w:rsidP="00215E80">
      <w:pPr>
        <w:widowControl w:val="0"/>
        <w:ind w:left="480" w:hanging="480"/>
      </w:pPr>
      <w:r w:rsidRPr="000D4C58">
        <w:rPr>
          <w:rFonts w:cs="Arial"/>
          <w:sz w:val="20"/>
        </w:rPr>
        <w:fldChar w:fldCharType="end"/>
      </w:r>
    </w:p>
    <w:p w14:paraId="443A91FB" w14:textId="77777777" w:rsidR="00E4593A" w:rsidRDefault="00762E09" w:rsidP="00891EB2">
      <w:pPr>
        <w:pStyle w:val="heading10"/>
        <w:outlineLvl w:val="0"/>
      </w:pPr>
      <w:r>
        <w:t>Figure Captions</w:t>
      </w:r>
    </w:p>
    <w:p w14:paraId="15FF15A4" w14:textId="77777777" w:rsidR="009F698A" w:rsidRDefault="00AA1670" w:rsidP="009F698A">
      <w:pPr>
        <w:rPr>
          <w:rFonts w:cs="Arial"/>
        </w:rPr>
      </w:pPr>
      <w:r w:rsidRPr="00AA1670">
        <w:rPr>
          <w:rFonts w:cs="Arial"/>
          <w:b/>
        </w:rPr>
        <w:t xml:space="preserve">Figure 1. </w:t>
      </w:r>
      <w:r w:rsidR="00335514">
        <w:rPr>
          <w:rFonts w:cs="Arial"/>
        </w:rPr>
        <w:t xml:space="preserve">Effect of </w:t>
      </w:r>
      <w:r w:rsidR="003B3F68">
        <w:rPr>
          <w:rFonts w:cs="Arial"/>
        </w:rPr>
        <w:t>aqueous solutions of glycerol, xylitol, urea, sodium chloride, and sodium iodide</w:t>
      </w:r>
      <w:r w:rsidR="00335514" w:rsidRPr="00335514">
        <w:rPr>
          <w:rFonts w:cs="Arial"/>
        </w:rPr>
        <w:t xml:space="preserve"> on </w:t>
      </w:r>
      <w:r w:rsidR="00335514">
        <w:rPr>
          <w:rFonts w:cs="Arial"/>
        </w:rPr>
        <w:t xml:space="preserve">the </w:t>
      </w:r>
      <w:r w:rsidR="00335514" w:rsidRPr="00335514">
        <w:rPr>
          <w:rFonts w:cs="Arial"/>
        </w:rPr>
        <w:t>index of refraction</w:t>
      </w:r>
      <w:r w:rsidR="00335514">
        <w:rPr>
          <w:rFonts w:cs="Arial"/>
        </w:rPr>
        <w:t xml:space="preserve"> (a)</w:t>
      </w:r>
      <w:r w:rsidR="00335514" w:rsidRPr="00335514">
        <w:rPr>
          <w:rFonts w:cs="Arial"/>
        </w:rPr>
        <w:t>, density</w:t>
      </w:r>
      <w:r w:rsidR="00335514">
        <w:rPr>
          <w:rFonts w:cs="Arial"/>
        </w:rPr>
        <w:t xml:space="preserve"> (b)</w:t>
      </w:r>
      <w:r w:rsidR="00335514" w:rsidRPr="00335514">
        <w:rPr>
          <w:rFonts w:cs="Arial"/>
        </w:rPr>
        <w:t>, and viscosity</w:t>
      </w:r>
      <w:r w:rsidR="00335514">
        <w:rPr>
          <w:rFonts w:cs="Arial"/>
        </w:rPr>
        <w:t xml:space="preserve"> (c)</w:t>
      </w:r>
      <w:r w:rsidR="00335514" w:rsidRPr="00335514">
        <w:rPr>
          <w:rFonts w:cs="Arial"/>
        </w:rPr>
        <w:t xml:space="preserve"> </w:t>
      </w:r>
      <w:r w:rsidR="00335514">
        <w:rPr>
          <w:rFonts w:cs="Arial"/>
        </w:rPr>
        <w:t xml:space="preserve">of water. </w:t>
      </w:r>
    </w:p>
    <w:p w14:paraId="75EDE4AE" w14:textId="77777777" w:rsidR="00335514" w:rsidRDefault="00335514" w:rsidP="009F698A">
      <w:pPr>
        <w:rPr>
          <w:rFonts w:cs="Arial"/>
        </w:rPr>
      </w:pPr>
    </w:p>
    <w:p w14:paraId="426AD894" w14:textId="77777777" w:rsidR="00335514" w:rsidRDefault="00335514" w:rsidP="00335514">
      <w:pPr>
        <w:rPr>
          <w:rFonts w:cs="Arial"/>
        </w:rPr>
      </w:pPr>
      <w:r>
        <w:rPr>
          <w:rFonts w:cs="Arial"/>
          <w:b/>
        </w:rPr>
        <w:t>Figure 2</w:t>
      </w:r>
      <w:r w:rsidRPr="00AA1670">
        <w:rPr>
          <w:rFonts w:cs="Arial"/>
          <w:b/>
        </w:rPr>
        <w:t xml:space="preserve">. </w:t>
      </w:r>
      <w:r>
        <w:rPr>
          <w:rFonts w:cs="Arial"/>
        </w:rPr>
        <w:t>I</w:t>
      </w:r>
      <w:r w:rsidRPr="00335514">
        <w:rPr>
          <w:rFonts w:cs="Arial"/>
        </w:rPr>
        <w:t>ndex</w:t>
      </w:r>
      <w:r>
        <w:rPr>
          <w:rFonts w:cs="Arial"/>
        </w:rPr>
        <w:t xml:space="preserve"> of refraction (a)</w:t>
      </w:r>
      <w:r w:rsidRPr="00335514">
        <w:rPr>
          <w:rFonts w:cs="Arial"/>
        </w:rPr>
        <w:t>, density</w:t>
      </w:r>
      <w:r>
        <w:rPr>
          <w:rFonts w:cs="Arial"/>
        </w:rPr>
        <w:t xml:space="preserve"> (b)</w:t>
      </w:r>
      <w:r w:rsidRPr="00335514">
        <w:rPr>
          <w:rFonts w:cs="Arial"/>
        </w:rPr>
        <w:t xml:space="preserve">, </w:t>
      </w:r>
      <w:r>
        <w:rPr>
          <w:rFonts w:cs="Arial"/>
        </w:rPr>
        <w:t xml:space="preserve">and </w:t>
      </w:r>
      <w:r w:rsidRPr="00335514">
        <w:rPr>
          <w:rFonts w:cs="Arial"/>
        </w:rPr>
        <w:t xml:space="preserve">viscosity </w:t>
      </w:r>
      <w:r>
        <w:rPr>
          <w:rFonts w:cs="Arial"/>
        </w:rPr>
        <w:t xml:space="preserve">(c) </w:t>
      </w:r>
      <w:r w:rsidRPr="00335514">
        <w:rPr>
          <w:rFonts w:cs="Arial"/>
        </w:rPr>
        <w:t>variations</w:t>
      </w:r>
      <w:r>
        <w:rPr>
          <w:rFonts w:cs="Arial"/>
        </w:rPr>
        <w:t xml:space="preserve"> of three-component Newtonian solutions</w:t>
      </w:r>
      <w:r w:rsidRPr="00335514">
        <w:rPr>
          <w:rFonts w:cs="Arial"/>
        </w:rPr>
        <w:t xml:space="preserve"> </w:t>
      </w:r>
      <w:r>
        <w:rPr>
          <w:rFonts w:cs="Arial"/>
        </w:rPr>
        <w:t>when</w:t>
      </w:r>
      <w:r w:rsidRPr="00335514">
        <w:rPr>
          <w:rFonts w:cs="Arial"/>
        </w:rPr>
        <w:t xml:space="preserve"> urea and </w:t>
      </w:r>
      <w:proofErr w:type="spellStart"/>
      <w:r w:rsidRPr="00335514">
        <w:rPr>
          <w:rFonts w:cs="Arial"/>
        </w:rPr>
        <w:t>NaI</w:t>
      </w:r>
      <w:proofErr w:type="spellEnd"/>
      <w:r w:rsidRPr="00335514">
        <w:rPr>
          <w:rFonts w:cs="Arial"/>
        </w:rPr>
        <w:t xml:space="preserve"> </w:t>
      </w:r>
      <w:r>
        <w:rPr>
          <w:rFonts w:cs="Arial"/>
        </w:rPr>
        <w:t xml:space="preserve">were added </w:t>
      </w:r>
      <w:r w:rsidRPr="00335514">
        <w:rPr>
          <w:rFonts w:cs="Arial"/>
        </w:rPr>
        <w:t>to water-glyce</w:t>
      </w:r>
      <w:r>
        <w:rPr>
          <w:rFonts w:cs="Arial"/>
        </w:rPr>
        <w:t>rol. Three starting ratios of water-glycerol</w:t>
      </w:r>
      <w:r w:rsidRPr="00335514">
        <w:rPr>
          <w:rFonts w:cs="Arial"/>
        </w:rPr>
        <w:t xml:space="preserve"> were tested (low, medium, high) to span the range of reported human blood viscosities.</w:t>
      </w:r>
    </w:p>
    <w:p w14:paraId="180378DD" w14:textId="77777777" w:rsidR="00335514" w:rsidRDefault="00335514" w:rsidP="009F698A">
      <w:pPr>
        <w:rPr>
          <w:rFonts w:cs="Arial"/>
          <w:b/>
        </w:rPr>
      </w:pPr>
    </w:p>
    <w:p w14:paraId="58407A9E" w14:textId="77777777" w:rsidR="00335514" w:rsidRDefault="00335514" w:rsidP="00335514">
      <w:pPr>
        <w:rPr>
          <w:rFonts w:cs="Arial"/>
        </w:rPr>
      </w:pPr>
      <w:r>
        <w:rPr>
          <w:rFonts w:cs="Arial"/>
          <w:b/>
        </w:rPr>
        <w:t>Figure 3</w:t>
      </w:r>
      <w:r w:rsidRPr="00AA1670">
        <w:rPr>
          <w:rFonts w:cs="Arial"/>
          <w:b/>
        </w:rPr>
        <w:t xml:space="preserve">. </w:t>
      </w:r>
      <w:r w:rsidR="00DA44B7" w:rsidRPr="00DA44B7">
        <w:rPr>
          <w:rFonts w:cs="Arial"/>
        </w:rPr>
        <w:t xml:space="preserve">Oscillatory </w:t>
      </w:r>
      <w:r w:rsidR="00DA44B7">
        <w:rPr>
          <w:rFonts w:cs="Arial"/>
        </w:rPr>
        <w:t xml:space="preserve">elasticity (a-c) and viscosity (d-f) with 0.02 (a, d), 0.04 (b, e), and 0.06 (c, f) </w:t>
      </w:r>
      <w:proofErr w:type="spellStart"/>
      <w:r w:rsidR="00DA44B7">
        <w:rPr>
          <w:rFonts w:cs="Arial"/>
        </w:rPr>
        <w:t>wt</w:t>
      </w:r>
      <w:proofErr w:type="spellEnd"/>
      <w:r w:rsidR="00DA44B7">
        <w:rPr>
          <w:rFonts w:cs="Arial"/>
        </w:rPr>
        <w:t>% xanthan gum added</w:t>
      </w:r>
      <w:r w:rsidR="008A3840">
        <w:rPr>
          <w:rFonts w:cs="Arial"/>
        </w:rPr>
        <w:t xml:space="preserve"> to the low, medium, and high water-glycerol ratios with urea and </w:t>
      </w:r>
      <w:proofErr w:type="spellStart"/>
      <w:r w:rsidR="008A3840">
        <w:rPr>
          <w:rFonts w:cs="Arial"/>
        </w:rPr>
        <w:t>NaI</w:t>
      </w:r>
      <w:proofErr w:type="spellEnd"/>
      <w:r w:rsidR="008A3840">
        <w:rPr>
          <w:rFonts w:cs="Arial"/>
        </w:rPr>
        <w:t xml:space="preserve"> added</w:t>
      </w:r>
      <w:r w:rsidR="00DA44B7">
        <w:rPr>
          <w:rFonts w:cs="Arial"/>
        </w:rPr>
        <w:t xml:space="preserve">. Blood viscosity and elasticities reported in Thurston (1979) and Long et al. (2005) were extracted using </w:t>
      </w:r>
      <w:proofErr w:type="spellStart"/>
      <w:r w:rsidR="00DA44B7">
        <w:rPr>
          <w:rFonts w:cs="Arial"/>
        </w:rPr>
        <w:t>WebPlotDigitizer</w:t>
      </w:r>
      <w:proofErr w:type="spellEnd"/>
      <w:r w:rsidR="00DA44B7">
        <w:rPr>
          <w:rFonts w:cs="Arial"/>
        </w:rPr>
        <w:t>.</w:t>
      </w:r>
    </w:p>
    <w:p w14:paraId="3CACF26A" w14:textId="4F6B7A81" w:rsidR="00335514" w:rsidRDefault="00335514" w:rsidP="009F698A">
      <w:pPr>
        <w:rPr>
          <w:rFonts w:cs="Arial"/>
          <w:b/>
        </w:rPr>
      </w:pPr>
    </w:p>
    <w:p w14:paraId="69477CA7" w14:textId="25C99982" w:rsidR="004F1EE7" w:rsidRPr="00AA1670" w:rsidRDefault="004F1EE7" w:rsidP="009F698A">
      <w:pPr>
        <w:rPr>
          <w:rFonts w:cs="Arial"/>
          <w:b/>
        </w:rPr>
      </w:pPr>
      <w:r>
        <w:rPr>
          <w:rFonts w:cs="Arial"/>
          <w:b/>
        </w:rPr>
        <w:t>Figure 4</w:t>
      </w:r>
      <w:r w:rsidRPr="00AA1670">
        <w:rPr>
          <w:rFonts w:cs="Arial"/>
          <w:b/>
        </w:rPr>
        <w:t xml:space="preserve">. </w:t>
      </w:r>
      <w:r w:rsidRPr="00DA44B7">
        <w:rPr>
          <w:rFonts w:cs="Arial"/>
        </w:rPr>
        <w:t xml:space="preserve">Oscillatory </w:t>
      </w:r>
      <w:r>
        <w:rPr>
          <w:rFonts w:cs="Arial"/>
        </w:rPr>
        <w:t>elas</w:t>
      </w:r>
      <w:r w:rsidR="00DE0F46">
        <w:rPr>
          <w:rFonts w:cs="Arial"/>
        </w:rPr>
        <w:t>ticity (a-b) and viscosity (c-d</w:t>
      </w:r>
      <w:r>
        <w:rPr>
          <w:rFonts w:cs="Arial"/>
        </w:rPr>
        <w:t xml:space="preserve">) </w:t>
      </w:r>
      <w:r w:rsidR="00DE0F46">
        <w:rPr>
          <w:rFonts w:cs="Arial"/>
        </w:rPr>
        <w:t xml:space="preserve">at various weight percent xanthan gum added to the low water-glycerol ratio solution with urea (a and c) and </w:t>
      </w:r>
      <w:proofErr w:type="spellStart"/>
      <w:r w:rsidR="00DE0F46">
        <w:rPr>
          <w:rFonts w:cs="Arial"/>
        </w:rPr>
        <w:t>NaI</w:t>
      </w:r>
      <w:proofErr w:type="spellEnd"/>
      <w:r w:rsidR="00DE0F46">
        <w:rPr>
          <w:rFonts w:cs="Arial"/>
        </w:rPr>
        <w:t xml:space="preserve"> (b and d) added</w:t>
      </w:r>
      <w:r w:rsidR="00296CDF">
        <w:rPr>
          <w:rFonts w:cs="Arial"/>
        </w:rPr>
        <w:t>.</w:t>
      </w:r>
      <w:r w:rsidR="005F47F9">
        <w:rPr>
          <w:rFonts w:cs="Arial"/>
        </w:rPr>
        <w:t xml:space="preserve"> In (a), high uncertainty in the 0 </w:t>
      </w:r>
      <w:proofErr w:type="spellStart"/>
      <w:r w:rsidR="005F47F9">
        <w:rPr>
          <w:rFonts w:cs="Arial"/>
        </w:rPr>
        <w:t>wt</w:t>
      </w:r>
      <w:proofErr w:type="spellEnd"/>
      <w:r w:rsidR="005F47F9">
        <w:rPr>
          <w:rFonts w:cs="Arial"/>
        </w:rPr>
        <w:t xml:space="preserve">% XG </w:t>
      </w:r>
      <w:r w:rsidR="00726F10">
        <w:rPr>
          <w:rFonts w:cs="Arial"/>
        </w:rPr>
        <w:t xml:space="preserve">yielded an abnormal elasticity </w:t>
      </w:r>
      <w:proofErr w:type="gramStart"/>
      <w:r w:rsidR="00726F10">
        <w:rPr>
          <w:rFonts w:cs="Arial"/>
        </w:rPr>
        <w:t>trend</w:t>
      </w:r>
      <w:r w:rsidR="00E36444">
        <w:rPr>
          <w:rFonts w:cs="Arial"/>
        </w:rPr>
        <w:t>, but</w:t>
      </w:r>
      <w:proofErr w:type="gramEnd"/>
      <w:r w:rsidR="00E36444">
        <w:rPr>
          <w:rFonts w:cs="Arial"/>
        </w:rPr>
        <w:t xml:space="preserve"> </w:t>
      </w:r>
      <w:r w:rsidR="0088312D">
        <w:rPr>
          <w:rFonts w:cs="Arial"/>
        </w:rPr>
        <w:t>was</w:t>
      </w:r>
      <w:r w:rsidR="00E36444">
        <w:rPr>
          <w:rFonts w:cs="Arial"/>
        </w:rPr>
        <w:t xml:space="preserve"> still</w:t>
      </w:r>
      <w:r w:rsidR="00D5669B">
        <w:rPr>
          <w:rFonts w:cs="Arial"/>
        </w:rPr>
        <w:t xml:space="preserve"> included for completeness</w:t>
      </w:r>
      <w:r w:rsidR="00E36444">
        <w:rPr>
          <w:rFonts w:cs="Arial"/>
        </w:rPr>
        <w:t>.</w:t>
      </w:r>
    </w:p>
    <w:sectPr w:rsidR="004F1EE7" w:rsidRPr="00AA1670" w:rsidSect="00C166B7">
      <w:footerReference w:type="default" r:id="rId10"/>
      <w:pgSz w:w="11907" w:h="16840"/>
      <w:pgMar w:top="1440" w:right="1440" w:bottom="1440" w:left="1440" w:header="720" w:footer="720" w:gutter="0"/>
      <w:lnNumType w:countBy="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FA8407" w14:textId="77777777" w:rsidR="00E00F53" w:rsidRDefault="00E00F53">
      <w:r>
        <w:separator/>
      </w:r>
    </w:p>
  </w:endnote>
  <w:endnote w:type="continuationSeparator" w:id="0">
    <w:p w14:paraId="05B6DBAF" w14:textId="77777777" w:rsidR="00E00F53" w:rsidRDefault="00E00F53">
      <w:r>
        <w:continuationSeparator/>
      </w:r>
    </w:p>
  </w:endnote>
  <w:endnote w:type="continuationNotice" w:id="1">
    <w:p w14:paraId="2076B256" w14:textId="77777777" w:rsidR="00E00F53" w:rsidRDefault="00E00F53">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ymbol Tiger Expert">
    <w:altName w:val="STIXGeneral"/>
    <w:panose1 w:val="020B0604020202020204"/>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4753" w14:textId="77777777" w:rsidR="00A70FD1" w:rsidRDefault="00A70FD1">
    <w:pPr>
      <w:pStyle w:val="Footer"/>
      <w:jc w:val="right"/>
    </w:pPr>
    <w:r>
      <w:rPr>
        <w:rStyle w:val="PageNumber"/>
      </w:rPr>
      <w:fldChar w:fldCharType="begin"/>
    </w:r>
    <w:r>
      <w:rPr>
        <w:rStyle w:val="PageNumber"/>
      </w:rPr>
      <w:instrText xml:space="preserve"> PAGE </w:instrText>
    </w:r>
    <w:r>
      <w:rPr>
        <w:rStyle w:val="PageNumber"/>
      </w:rPr>
      <w:fldChar w:fldCharType="separate"/>
    </w:r>
    <w:r w:rsidR="00962C01">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4A4DB7" w14:textId="77777777" w:rsidR="00E00F53" w:rsidRDefault="00E00F53">
      <w:r>
        <w:separator/>
      </w:r>
    </w:p>
  </w:footnote>
  <w:footnote w:type="continuationSeparator" w:id="0">
    <w:p w14:paraId="2D57209B" w14:textId="77777777" w:rsidR="00E00F53" w:rsidRDefault="00E00F53">
      <w:r>
        <w:continuationSeparator/>
      </w:r>
    </w:p>
  </w:footnote>
  <w:footnote w:type="continuationNotice" w:id="1">
    <w:p w14:paraId="1A73926A" w14:textId="77777777" w:rsidR="00E00F53" w:rsidRDefault="00E00F53">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152C9926"/>
    <w:lvl w:ilvl="0">
      <w:start w:val="1"/>
      <w:numFmt w:val="decimal"/>
      <w:lvlText w:val="%1."/>
      <w:lvlJc w:val="left"/>
      <w:pPr>
        <w:tabs>
          <w:tab w:val="num" w:pos="720"/>
        </w:tabs>
        <w:ind w:left="720" w:hanging="360"/>
      </w:pPr>
    </w:lvl>
  </w:abstractNum>
  <w:abstractNum w:abstractNumId="1" w15:restartNumberingAfterBreak="0">
    <w:nsid w:val="FFFFFF80"/>
    <w:multiLevelType w:val="singleLevel"/>
    <w:tmpl w:val="B866CD58"/>
    <w:lvl w:ilvl="0">
      <w:start w:val="1"/>
      <w:numFmt w:val="bullet"/>
      <w:lvlText w:val=""/>
      <w:lvlJc w:val="left"/>
      <w:pPr>
        <w:tabs>
          <w:tab w:val="num" w:pos="1800"/>
        </w:tabs>
        <w:ind w:left="1800" w:hanging="360"/>
      </w:pPr>
      <w:rPr>
        <w:rFonts w:ascii="Symbol" w:hAnsi="Symbol" w:hint="default"/>
      </w:rPr>
    </w:lvl>
  </w:abstractNum>
  <w:abstractNum w:abstractNumId="2" w15:restartNumberingAfterBreak="0">
    <w:nsid w:val="FFFFFF83"/>
    <w:multiLevelType w:val="singleLevel"/>
    <w:tmpl w:val="1F3ED1FA"/>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01106B45"/>
    <w:multiLevelType w:val="hybridMultilevel"/>
    <w:tmpl w:val="FB628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C57127"/>
    <w:multiLevelType w:val="hybridMultilevel"/>
    <w:tmpl w:val="F23EF502"/>
    <w:lvl w:ilvl="0" w:tplc="CD863404">
      <w:start w:val="1"/>
      <w:numFmt w:val="upperLetter"/>
      <w:lvlText w:val="%1."/>
      <w:lvlJc w:val="left"/>
      <w:pPr>
        <w:ind w:left="860" w:hanging="5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3346E1"/>
    <w:multiLevelType w:val="hybridMultilevel"/>
    <w:tmpl w:val="BF48A1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2474C6"/>
    <w:multiLevelType w:val="multilevel"/>
    <w:tmpl w:val="2BF48996"/>
    <w:lvl w:ilvl="0">
      <w:start w:val="1"/>
      <w:numFmt w:val="decimal"/>
      <w:lvlText w:val="%1"/>
      <w:lvlJc w:val="left"/>
      <w:pPr>
        <w:ind w:left="400" w:hanging="400"/>
      </w:pPr>
      <w:rPr>
        <w:rFonts w:hint="default"/>
      </w:rPr>
    </w:lvl>
    <w:lvl w:ilvl="1">
      <w:start w:val="1"/>
      <w:numFmt w:val="decimal"/>
      <w:lvlText w:val="%1.%2"/>
      <w:lvlJc w:val="left"/>
      <w:pPr>
        <w:ind w:left="400" w:hanging="4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E282793"/>
    <w:multiLevelType w:val="multilevel"/>
    <w:tmpl w:val="6B865F8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51CA708A"/>
    <w:multiLevelType w:val="hybridMultilevel"/>
    <w:tmpl w:val="7BA02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51DF2844"/>
    <w:multiLevelType w:val="hybridMultilevel"/>
    <w:tmpl w:val="FAB81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346D8F"/>
    <w:multiLevelType w:val="hybridMultilevel"/>
    <w:tmpl w:val="048CADD6"/>
    <w:lvl w:ilvl="0" w:tplc="04090015">
      <w:start w:val="2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6468E8"/>
    <w:multiLevelType w:val="hybridMultilevel"/>
    <w:tmpl w:val="E9F6207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80728B6"/>
    <w:multiLevelType w:val="hybridMultilevel"/>
    <w:tmpl w:val="51685EEA"/>
    <w:lvl w:ilvl="0" w:tplc="DE8EA94C">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CF56C4"/>
    <w:multiLevelType w:val="hybridMultilevel"/>
    <w:tmpl w:val="E4C600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C7D4EC0"/>
    <w:multiLevelType w:val="hybridMultilevel"/>
    <w:tmpl w:val="BFF00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757AA3"/>
    <w:multiLevelType w:val="hybridMultilevel"/>
    <w:tmpl w:val="0624DA26"/>
    <w:lvl w:ilvl="0" w:tplc="D464BA0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24F1EE7"/>
    <w:multiLevelType w:val="hybridMultilevel"/>
    <w:tmpl w:val="D5F6B640"/>
    <w:lvl w:ilvl="0" w:tplc="D3AAB0F2">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5"/>
  </w:num>
  <w:num w:numId="3">
    <w:abstractNumId w:val="16"/>
  </w:num>
  <w:num w:numId="4">
    <w:abstractNumId w:val="7"/>
  </w:num>
  <w:num w:numId="5">
    <w:abstractNumId w:val="4"/>
  </w:num>
  <w:num w:numId="6">
    <w:abstractNumId w:val="11"/>
  </w:num>
  <w:num w:numId="7">
    <w:abstractNumId w:val="10"/>
  </w:num>
  <w:num w:numId="8">
    <w:abstractNumId w:val="12"/>
  </w:num>
  <w:num w:numId="9">
    <w:abstractNumId w:val="14"/>
  </w:num>
  <w:num w:numId="10">
    <w:abstractNumId w:val="5"/>
  </w:num>
  <w:num w:numId="11">
    <w:abstractNumId w:val="8"/>
  </w:num>
  <w:num w:numId="12">
    <w:abstractNumId w:val="13"/>
  </w:num>
  <w:num w:numId="13">
    <w:abstractNumId w:val="9"/>
  </w:num>
  <w:num w:numId="14">
    <w:abstractNumId w:val="3"/>
  </w:num>
  <w:num w:numId="15">
    <w:abstractNumId w:val="0"/>
  </w:num>
  <w:num w:numId="16">
    <w:abstractNumId w:val="1"/>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4096" w:nlCheck="1" w:checkStyle="0"/>
  <w:proofState w:spelling="clean" w:grammar="clean"/>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306"/>
    <w:rsid w:val="00000288"/>
    <w:rsid w:val="00000BFC"/>
    <w:rsid w:val="00002235"/>
    <w:rsid w:val="00003047"/>
    <w:rsid w:val="0000514D"/>
    <w:rsid w:val="000128DE"/>
    <w:rsid w:val="000139B8"/>
    <w:rsid w:val="00013AA6"/>
    <w:rsid w:val="000143DD"/>
    <w:rsid w:val="00015C9A"/>
    <w:rsid w:val="00015E5C"/>
    <w:rsid w:val="00025119"/>
    <w:rsid w:val="00025589"/>
    <w:rsid w:val="00025DF1"/>
    <w:rsid w:val="00030656"/>
    <w:rsid w:val="000313E2"/>
    <w:rsid w:val="00034682"/>
    <w:rsid w:val="00036102"/>
    <w:rsid w:val="00036E29"/>
    <w:rsid w:val="0004101C"/>
    <w:rsid w:val="000414E2"/>
    <w:rsid w:val="00043A5A"/>
    <w:rsid w:val="00043D6A"/>
    <w:rsid w:val="000440A3"/>
    <w:rsid w:val="0004646E"/>
    <w:rsid w:val="00047FA3"/>
    <w:rsid w:val="00053FC0"/>
    <w:rsid w:val="00054520"/>
    <w:rsid w:val="000551B1"/>
    <w:rsid w:val="0005601A"/>
    <w:rsid w:val="0005776C"/>
    <w:rsid w:val="00057BD1"/>
    <w:rsid w:val="000607D6"/>
    <w:rsid w:val="00063C3F"/>
    <w:rsid w:val="00065E45"/>
    <w:rsid w:val="0007061A"/>
    <w:rsid w:val="000711D4"/>
    <w:rsid w:val="00072DA5"/>
    <w:rsid w:val="00073EE9"/>
    <w:rsid w:val="00074037"/>
    <w:rsid w:val="0007451A"/>
    <w:rsid w:val="00076622"/>
    <w:rsid w:val="000816F5"/>
    <w:rsid w:val="00081887"/>
    <w:rsid w:val="00081AD1"/>
    <w:rsid w:val="00081EBA"/>
    <w:rsid w:val="000823D2"/>
    <w:rsid w:val="000827B3"/>
    <w:rsid w:val="00083634"/>
    <w:rsid w:val="00083FB3"/>
    <w:rsid w:val="00084EC8"/>
    <w:rsid w:val="0009134E"/>
    <w:rsid w:val="00092140"/>
    <w:rsid w:val="00092365"/>
    <w:rsid w:val="00092BE0"/>
    <w:rsid w:val="00096DA1"/>
    <w:rsid w:val="0009704F"/>
    <w:rsid w:val="00097186"/>
    <w:rsid w:val="00097E59"/>
    <w:rsid w:val="000A05E0"/>
    <w:rsid w:val="000A2662"/>
    <w:rsid w:val="000A3466"/>
    <w:rsid w:val="000A3F39"/>
    <w:rsid w:val="000A4EB0"/>
    <w:rsid w:val="000A731A"/>
    <w:rsid w:val="000B36FD"/>
    <w:rsid w:val="000B4441"/>
    <w:rsid w:val="000B4B68"/>
    <w:rsid w:val="000C0E8C"/>
    <w:rsid w:val="000C181D"/>
    <w:rsid w:val="000C6443"/>
    <w:rsid w:val="000C7047"/>
    <w:rsid w:val="000C7E52"/>
    <w:rsid w:val="000D0085"/>
    <w:rsid w:val="000D3A37"/>
    <w:rsid w:val="000D4C58"/>
    <w:rsid w:val="000D5647"/>
    <w:rsid w:val="000D7A3E"/>
    <w:rsid w:val="000D7F08"/>
    <w:rsid w:val="000E10D3"/>
    <w:rsid w:val="000E5A06"/>
    <w:rsid w:val="000E5E27"/>
    <w:rsid w:val="000E5EFB"/>
    <w:rsid w:val="000E6C0C"/>
    <w:rsid w:val="000E7D45"/>
    <w:rsid w:val="000F0088"/>
    <w:rsid w:val="000F1CA2"/>
    <w:rsid w:val="000F20C2"/>
    <w:rsid w:val="000F3A4C"/>
    <w:rsid w:val="000F4B55"/>
    <w:rsid w:val="000F751E"/>
    <w:rsid w:val="000F7E86"/>
    <w:rsid w:val="00103213"/>
    <w:rsid w:val="00103F59"/>
    <w:rsid w:val="0010445C"/>
    <w:rsid w:val="00106791"/>
    <w:rsid w:val="001116C1"/>
    <w:rsid w:val="00111F5E"/>
    <w:rsid w:val="00112B75"/>
    <w:rsid w:val="00113EC6"/>
    <w:rsid w:val="00114C20"/>
    <w:rsid w:val="001155B7"/>
    <w:rsid w:val="001156C3"/>
    <w:rsid w:val="001175B0"/>
    <w:rsid w:val="0011782A"/>
    <w:rsid w:val="00121BB6"/>
    <w:rsid w:val="00122159"/>
    <w:rsid w:val="0012375E"/>
    <w:rsid w:val="001247A2"/>
    <w:rsid w:val="00124DE7"/>
    <w:rsid w:val="00126638"/>
    <w:rsid w:val="00135231"/>
    <w:rsid w:val="00140140"/>
    <w:rsid w:val="00141997"/>
    <w:rsid w:val="00141E20"/>
    <w:rsid w:val="0014493F"/>
    <w:rsid w:val="001468C2"/>
    <w:rsid w:val="00147EFE"/>
    <w:rsid w:val="001501D3"/>
    <w:rsid w:val="00151DD1"/>
    <w:rsid w:val="00152177"/>
    <w:rsid w:val="001524FF"/>
    <w:rsid w:val="001535E7"/>
    <w:rsid w:val="001547E0"/>
    <w:rsid w:val="00156B09"/>
    <w:rsid w:val="00156E34"/>
    <w:rsid w:val="0015724A"/>
    <w:rsid w:val="00157FA6"/>
    <w:rsid w:val="00161B98"/>
    <w:rsid w:val="001622E0"/>
    <w:rsid w:val="00162F7A"/>
    <w:rsid w:val="001632FB"/>
    <w:rsid w:val="001654C9"/>
    <w:rsid w:val="00170245"/>
    <w:rsid w:val="001728AB"/>
    <w:rsid w:val="00181D97"/>
    <w:rsid w:val="0018252F"/>
    <w:rsid w:val="00182CD0"/>
    <w:rsid w:val="00182EF9"/>
    <w:rsid w:val="0018343C"/>
    <w:rsid w:val="00183FE7"/>
    <w:rsid w:val="00185456"/>
    <w:rsid w:val="00187E9F"/>
    <w:rsid w:val="001908D0"/>
    <w:rsid w:val="001918C1"/>
    <w:rsid w:val="00191941"/>
    <w:rsid w:val="001927F1"/>
    <w:rsid w:val="00193BEC"/>
    <w:rsid w:val="00196A3D"/>
    <w:rsid w:val="001A073D"/>
    <w:rsid w:val="001A0913"/>
    <w:rsid w:val="001A2850"/>
    <w:rsid w:val="001A2AD0"/>
    <w:rsid w:val="001A32F9"/>
    <w:rsid w:val="001A656B"/>
    <w:rsid w:val="001B0184"/>
    <w:rsid w:val="001B1BD7"/>
    <w:rsid w:val="001B4C6D"/>
    <w:rsid w:val="001C0D51"/>
    <w:rsid w:val="001C2A6A"/>
    <w:rsid w:val="001C457B"/>
    <w:rsid w:val="001C5C92"/>
    <w:rsid w:val="001D03D2"/>
    <w:rsid w:val="001D17A6"/>
    <w:rsid w:val="001D2930"/>
    <w:rsid w:val="001D3BC4"/>
    <w:rsid w:val="001D61CC"/>
    <w:rsid w:val="001D6FD8"/>
    <w:rsid w:val="001E152C"/>
    <w:rsid w:val="001E29ED"/>
    <w:rsid w:val="001E362E"/>
    <w:rsid w:val="001E6218"/>
    <w:rsid w:val="001E7EE6"/>
    <w:rsid w:val="001F338E"/>
    <w:rsid w:val="001F7012"/>
    <w:rsid w:val="001F75D5"/>
    <w:rsid w:val="00200411"/>
    <w:rsid w:val="002008F0"/>
    <w:rsid w:val="0020198D"/>
    <w:rsid w:val="00202FA2"/>
    <w:rsid w:val="00204F51"/>
    <w:rsid w:val="002054EA"/>
    <w:rsid w:val="0020641C"/>
    <w:rsid w:val="002064AE"/>
    <w:rsid w:val="0021022E"/>
    <w:rsid w:val="00210A4D"/>
    <w:rsid w:val="00210F7A"/>
    <w:rsid w:val="0021130A"/>
    <w:rsid w:val="00211416"/>
    <w:rsid w:val="0021152C"/>
    <w:rsid w:val="00213C10"/>
    <w:rsid w:val="00213CB7"/>
    <w:rsid w:val="00214147"/>
    <w:rsid w:val="00215030"/>
    <w:rsid w:val="00215E80"/>
    <w:rsid w:val="00216EB5"/>
    <w:rsid w:val="00224A47"/>
    <w:rsid w:val="00224B7E"/>
    <w:rsid w:val="002301D1"/>
    <w:rsid w:val="002321E3"/>
    <w:rsid w:val="002344F7"/>
    <w:rsid w:val="00235606"/>
    <w:rsid w:val="002364B4"/>
    <w:rsid w:val="002365C9"/>
    <w:rsid w:val="002374E9"/>
    <w:rsid w:val="00242900"/>
    <w:rsid w:val="00242AF7"/>
    <w:rsid w:val="00242B4A"/>
    <w:rsid w:val="002436EA"/>
    <w:rsid w:val="002465C4"/>
    <w:rsid w:val="002501D3"/>
    <w:rsid w:val="00250FE6"/>
    <w:rsid w:val="00254E06"/>
    <w:rsid w:val="0025659D"/>
    <w:rsid w:val="00257371"/>
    <w:rsid w:val="00264D43"/>
    <w:rsid w:val="002656C3"/>
    <w:rsid w:val="00265947"/>
    <w:rsid w:val="00266D47"/>
    <w:rsid w:val="002726F3"/>
    <w:rsid w:val="00275D9B"/>
    <w:rsid w:val="0027649B"/>
    <w:rsid w:val="002768FC"/>
    <w:rsid w:val="002776F8"/>
    <w:rsid w:val="00277AA7"/>
    <w:rsid w:val="00280581"/>
    <w:rsid w:val="002819EE"/>
    <w:rsid w:val="00281E98"/>
    <w:rsid w:val="00282E2F"/>
    <w:rsid w:val="00283C46"/>
    <w:rsid w:val="0028513A"/>
    <w:rsid w:val="002852B8"/>
    <w:rsid w:val="00293583"/>
    <w:rsid w:val="002941CF"/>
    <w:rsid w:val="00296779"/>
    <w:rsid w:val="00296A8F"/>
    <w:rsid w:val="00296C66"/>
    <w:rsid w:val="00296CDF"/>
    <w:rsid w:val="002A16ED"/>
    <w:rsid w:val="002A270D"/>
    <w:rsid w:val="002A7F7B"/>
    <w:rsid w:val="002B0EBB"/>
    <w:rsid w:val="002B270C"/>
    <w:rsid w:val="002B36A6"/>
    <w:rsid w:val="002B3B90"/>
    <w:rsid w:val="002B44A9"/>
    <w:rsid w:val="002B52BF"/>
    <w:rsid w:val="002B6719"/>
    <w:rsid w:val="002C00DD"/>
    <w:rsid w:val="002C01B1"/>
    <w:rsid w:val="002C1C10"/>
    <w:rsid w:val="002C1F43"/>
    <w:rsid w:val="002C67E5"/>
    <w:rsid w:val="002C6EF8"/>
    <w:rsid w:val="002D4E1E"/>
    <w:rsid w:val="002D54F4"/>
    <w:rsid w:val="002D76D5"/>
    <w:rsid w:val="002E3562"/>
    <w:rsid w:val="002E3B91"/>
    <w:rsid w:val="002E3EBA"/>
    <w:rsid w:val="002E60BD"/>
    <w:rsid w:val="002F099F"/>
    <w:rsid w:val="002F3593"/>
    <w:rsid w:val="002F3C60"/>
    <w:rsid w:val="002F421A"/>
    <w:rsid w:val="002F4273"/>
    <w:rsid w:val="002F46B3"/>
    <w:rsid w:val="002F48F3"/>
    <w:rsid w:val="002F61BB"/>
    <w:rsid w:val="002F647B"/>
    <w:rsid w:val="00301F4F"/>
    <w:rsid w:val="00302163"/>
    <w:rsid w:val="003023E6"/>
    <w:rsid w:val="00302959"/>
    <w:rsid w:val="00303018"/>
    <w:rsid w:val="00305897"/>
    <w:rsid w:val="00306D9F"/>
    <w:rsid w:val="003100EA"/>
    <w:rsid w:val="00310128"/>
    <w:rsid w:val="00311514"/>
    <w:rsid w:val="00312A5E"/>
    <w:rsid w:val="00312D27"/>
    <w:rsid w:val="00312DF9"/>
    <w:rsid w:val="00313683"/>
    <w:rsid w:val="0031555E"/>
    <w:rsid w:val="00317692"/>
    <w:rsid w:val="0032002C"/>
    <w:rsid w:val="00321F88"/>
    <w:rsid w:val="00324ABC"/>
    <w:rsid w:val="00325E28"/>
    <w:rsid w:val="0032621C"/>
    <w:rsid w:val="0032647A"/>
    <w:rsid w:val="00330CC9"/>
    <w:rsid w:val="00330EF2"/>
    <w:rsid w:val="00332898"/>
    <w:rsid w:val="00333637"/>
    <w:rsid w:val="00335514"/>
    <w:rsid w:val="00340AC4"/>
    <w:rsid w:val="003513E5"/>
    <w:rsid w:val="00354CF8"/>
    <w:rsid w:val="00354EEF"/>
    <w:rsid w:val="00362914"/>
    <w:rsid w:val="003629E2"/>
    <w:rsid w:val="00367D84"/>
    <w:rsid w:val="00371A46"/>
    <w:rsid w:val="00371B87"/>
    <w:rsid w:val="00372410"/>
    <w:rsid w:val="003728A1"/>
    <w:rsid w:val="003749F9"/>
    <w:rsid w:val="00375E86"/>
    <w:rsid w:val="0037698C"/>
    <w:rsid w:val="00376A15"/>
    <w:rsid w:val="0037743B"/>
    <w:rsid w:val="00377461"/>
    <w:rsid w:val="0037793D"/>
    <w:rsid w:val="0038022B"/>
    <w:rsid w:val="00380620"/>
    <w:rsid w:val="00380CFC"/>
    <w:rsid w:val="00381660"/>
    <w:rsid w:val="00381A3C"/>
    <w:rsid w:val="00381E19"/>
    <w:rsid w:val="00382A52"/>
    <w:rsid w:val="00385210"/>
    <w:rsid w:val="00386D2E"/>
    <w:rsid w:val="00387677"/>
    <w:rsid w:val="003877B6"/>
    <w:rsid w:val="003905B2"/>
    <w:rsid w:val="003912F3"/>
    <w:rsid w:val="0039227B"/>
    <w:rsid w:val="003925C8"/>
    <w:rsid w:val="00393A93"/>
    <w:rsid w:val="00394DA7"/>
    <w:rsid w:val="003952FB"/>
    <w:rsid w:val="00396181"/>
    <w:rsid w:val="00396FCC"/>
    <w:rsid w:val="00397CEF"/>
    <w:rsid w:val="003A4466"/>
    <w:rsid w:val="003B06AF"/>
    <w:rsid w:val="003B08CD"/>
    <w:rsid w:val="003B229A"/>
    <w:rsid w:val="003B3F68"/>
    <w:rsid w:val="003B4773"/>
    <w:rsid w:val="003B5533"/>
    <w:rsid w:val="003B69E2"/>
    <w:rsid w:val="003B6AC2"/>
    <w:rsid w:val="003B784D"/>
    <w:rsid w:val="003C0A9F"/>
    <w:rsid w:val="003C1DB8"/>
    <w:rsid w:val="003C2475"/>
    <w:rsid w:val="003C3488"/>
    <w:rsid w:val="003C44AC"/>
    <w:rsid w:val="003D1C7D"/>
    <w:rsid w:val="003D1CE1"/>
    <w:rsid w:val="003D1ED0"/>
    <w:rsid w:val="003D3DA9"/>
    <w:rsid w:val="003D793F"/>
    <w:rsid w:val="003E00BF"/>
    <w:rsid w:val="003E1E17"/>
    <w:rsid w:val="003E2CBC"/>
    <w:rsid w:val="003E31AF"/>
    <w:rsid w:val="003E3AB6"/>
    <w:rsid w:val="003E3DE9"/>
    <w:rsid w:val="003E63F6"/>
    <w:rsid w:val="003E7B42"/>
    <w:rsid w:val="003E7D89"/>
    <w:rsid w:val="003F06A0"/>
    <w:rsid w:val="003F233A"/>
    <w:rsid w:val="003F2B9B"/>
    <w:rsid w:val="003F3A5F"/>
    <w:rsid w:val="003F3E2F"/>
    <w:rsid w:val="003F5646"/>
    <w:rsid w:val="003F7519"/>
    <w:rsid w:val="00401406"/>
    <w:rsid w:val="00402964"/>
    <w:rsid w:val="00403B70"/>
    <w:rsid w:val="004044AC"/>
    <w:rsid w:val="004047DB"/>
    <w:rsid w:val="00406360"/>
    <w:rsid w:val="00407816"/>
    <w:rsid w:val="00407EEC"/>
    <w:rsid w:val="00407EFA"/>
    <w:rsid w:val="00410674"/>
    <w:rsid w:val="004111B9"/>
    <w:rsid w:val="00411867"/>
    <w:rsid w:val="0041615E"/>
    <w:rsid w:val="00417599"/>
    <w:rsid w:val="004177E0"/>
    <w:rsid w:val="00420D2E"/>
    <w:rsid w:val="004211CC"/>
    <w:rsid w:val="0043106A"/>
    <w:rsid w:val="004319B8"/>
    <w:rsid w:val="0043333D"/>
    <w:rsid w:val="0043377A"/>
    <w:rsid w:val="00433DDD"/>
    <w:rsid w:val="004349C3"/>
    <w:rsid w:val="00435DE5"/>
    <w:rsid w:val="0043782E"/>
    <w:rsid w:val="004403E8"/>
    <w:rsid w:val="004443F8"/>
    <w:rsid w:val="00444B5E"/>
    <w:rsid w:val="0044540C"/>
    <w:rsid w:val="00446539"/>
    <w:rsid w:val="00446719"/>
    <w:rsid w:val="004504F4"/>
    <w:rsid w:val="0045163B"/>
    <w:rsid w:val="00453D1A"/>
    <w:rsid w:val="004548F9"/>
    <w:rsid w:val="0045600A"/>
    <w:rsid w:val="00456AFA"/>
    <w:rsid w:val="00456D8B"/>
    <w:rsid w:val="004578D8"/>
    <w:rsid w:val="004642C0"/>
    <w:rsid w:val="00466CB0"/>
    <w:rsid w:val="00466CC5"/>
    <w:rsid w:val="00467165"/>
    <w:rsid w:val="004673C5"/>
    <w:rsid w:val="00467C80"/>
    <w:rsid w:val="004710F5"/>
    <w:rsid w:val="00476D72"/>
    <w:rsid w:val="004770F1"/>
    <w:rsid w:val="00480913"/>
    <w:rsid w:val="00485ECE"/>
    <w:rsid w:val="00490942"/>
    <w:rsid w:val="00493A26"/>
    <w:rsid w:val="00497C0B"/>
    <w:rsid w:val="004A08CC"/>
    <w:rsid w:val="004A0C2F"/>
    <w:rsid w:val="004A0ECC"/>
    <w:rsid w:val="004A16BD"/>
    <w:rsid w:val="004A3B2B"/>
    <w:rsid w:val="004A424F"/>
    <w:rsid w:val="004A69B2"/>
    <w:rsid w:val="004A7616"/>
    <w:rsid w:val="004A771F"/>
    <w:rsid w:val="004B1583"/>
    <w:rsid w:val="004B198B"/>
    <w:rsid w:val="004B1AED"/>
    <w:rsid w:val="004B1D4B"/>
    <w:rsid w:val="004B28DF"/>
    <w:rsid w:val="004B4DB5"/>
    <w:rsid w:val="004B5981"/>
    <w:rsid w:val="004C0C26"/>
    <w:rsid w:val="004C11F0"/>
    <w:rsid w:val="004C1A17"/>
    <w:rsid w:val="004C268F"/>
    <w:rsid w:val="004C3C0D"/>
    <w:rsid w:val="004C6705"/>
    <w:rsid w:val="004C70AB"/>
    <w:rsid w:val="004C74A4"/>
    <w:rsid w:val="004D027E"/>
    <w:rsid w:val="004D04BB"/>
    <w:rsid w:val="004D1723"/>
    <w:rsid w:val="004D24AE"/>
    <w:rsid w:val="004D2826"/>
    <w:rsid w:val="004D48CB"/>
    <w:rsid w:val="004D5325"/>
    <w:rsid w:val="004D5CDF"/>
    <w:rsid w:val="004D6B08"/>
    <w:rsid w:val="004E1254"/>
    <w:rsid w:val="004E13D5"/>
    <w:rsid w:val="004E22A3"/>
    <w:rsid w:val="004E3852"/>
    <w:rsid w:val="004E3C3D"/>
    <w:rsid w:val="004F1EE7"/>
    <w:rsid w:val="004F2473"/>
    <w:rsid w:val="004F24C3"/>
    <w:rsid w:val="004F35F9"/>
    <w:rsid w:val="004F3783"/>
    <w:rsid w:val="004F48FA"/>
    <w:rsid w:val="004F4FE6"/>
    <w:rsid w:val="004F7C8B"/>
    <w:rsid w:val="005037F1"/>
    <w:rsid w:val="00506860"/>
    <w:rsid w:val="00507F4B"/>
    <w:rsid w:val="0051210B"/>
    <w:rsid w:val="00512C6F"/>
    <w:rsid w:val="00514464"/>
    <w:rsid w:val="00514895"/>
    <w:rsid w:val="00515639"/>
    <w:rsid w:val="005158DA"/>
    <w:rsid w:val="00515C3A"/>
    <w:rsid w:val="00517C6B"/>
    <w:rsid w:val="00517FF1"/>
    <w:rsid w:val="0052324C"/>
    <w:rsid w:val="005243CB"/>
    <w:rsid w:val="005245E6"/>
    <w:rsid w:val="0052591D"/>
    <w:rsid w:val="00525949"/>
    <w:rsid w:val="0052737B"/>
    <w:rsid w:val="005275D9"/>
    <w:rsid w:val="0053220D"/>
    <w:rsid w:val="00532ACB"/>
    <w:rsid w:val="0053317A"/>
    <w:rsid w:val="0053498D"/>
    <w:rsid w:val="00534FCE"/>
    <w:rsid w:val="00535344"/>
    <w:rsid w:val="00535BDF"/>
    <w:rsid w:val="0053611A"/>
    <w:rsid w:val="00536444"/>
    <w:rsid w:val="005365F8"/>
    <w:rsid w:val="00541708"/>
    <w:rsid w:val="00542762"/>
    <w:rsid w:val="00543779"/>
    <w:rsid w:val="00545F0A"/>
    <w:rsid w:val="00546C4F"/>
    <w:rsid w:val="0054709B"/>
    <w:rsid w:val="00547ED1"/>
    <w:rsid w:val="00551D00"/>
    <w:rsid w:val="00552478"/>
    <w:rsid w:val="0055414D"/>
    <w:rsid w:val="005549AF"/>
    <w:rsid w:val="005573D2"/>
    <w:rsid w:val="0055744F"/>
    <w:rsid w:val="00557EFE"/>
    <w:rsid w:val="0056019A"/>
    <w:rsid w:val="00560462"/>
    <w:rsid w:val="00560F72"/>
    <w:rsid w:val="00561D88"/>
    <w:rsid w:val="005622EF"/>
    <w:rsid w:val="00562D6B"/>
    <w:rsid w:val="00563505"/>
    <w:rsid w:val="00565F81"/>
    <w:rsid w:val="005711DF"/>
    <w:rsid w:val="0057168A"/>
    <w:rsid w:val="00571C29"/>
    <w:rsid w:val="00573063"/>
    <w:rsid w:val="00573F4C"/>
    <w:rsid w:val="00574A3C"/>
    <w:rsid w:val="0058134C"/>
    <w:rsid w:val="00581482"/>
    <w:rsid w:val="00582476"/>
    <w:rsid w:val="005825F2"/>
    <w:rsid w:val="00583434"/>
    <w:rsid w:val="00584525"/>
    <w:rsid w:val="005849C5"/>
    <w:rsid w:val="00591F6B"/>
    <w:rsid w:val="005927FE"/>
    <w:rsid w:val="005932EC"/>
    <w:rsid w:val="00593AFA"/>
    <w:rsid w:val="0059501A"/>
    <w:rsid w:val="0059597E"/>
    <w:rsid w:val="00595D60"/>
    <w:rsid w:val="00596497"/>
    <w:rsid w:val="005969D5"/>
    <w:rsid w:val="005A2649"/>
    <w:rsid w:val="005B1200"/>
    <w:rsid w:val="005B32BF"/>
    <w:rsid w:val="005B3B5D"/>
    <w:rsid w:val="005B5AAC"/>
    <w:rsid w:val="005C0503"/>
    <w:rsid w:val="005C2A08"/>
    <w:rsid w:val="005C334E"/>
    <w:rsid w:val="005C33BA"/>
    <w:rsid w:val="005C5404"/>
    <w:rsid w:val="005C7416"/>
    <w:rsid w:val="005D40EC"/>
    <w:rsid w:val="005E1013"/>
    <w:rsid w:val="005E15BE"/>
    <w:rsid w:val="005E1C78"/>
    <w:rsid w:val="005E2A8E"/>
    <w:rsid w:val="005E2F99"/>
    <w:rsid w:val="005E3FA5"/>
    <w:rsid w:val="005E5770"/>
    <w:rsid w:val="005E605E"/>
    <w:rsid w:val="005E7AFD"/>
    <w:rsid w:val="005F040F"/>
    <w:rsid w:val="005F0C08"/>
    <w:rsid w:val="005F1598"/>
    <w:rsid w:val="005F1B46"/>
    <w:rsid w:val="005F331F"/>
    <w:rsid w:val="005F34D9"/>
    <w:rsid w:val="005F47F9"/>
    <w:rsid w:val="005F5D28"/>
    <w:rsid w:val="005F6811"/>
    <w:rsid w:val="00605E65"/>
    <w:rsid w:val="00606B91"/>
    <w:rsid w:val="00610BD6"/>
    <w:rsid w:val="00610C27"/>
    <w:rsid w:val="00614B83"/>
    <w:rsid w:val="00615BF3"/>
    <w:rsid w:val="0061721B"/>
    <w:rsid w:val="006172C8"/>
    <w:rsid w:val="006173DF"/>
    <w:rsid w:val="00617E19"/>
    <w:rsid w:val="00620244"/>
    <w:rsid w:val="00620DCA"/>
    <w:rsid w:val="00622B78"/>
    <w:rsid w:val="00624C91"/>
    <w:rsid w:val="00626306"/>
    <w:rsid w:val="00626CE2"/>
    <w:rsid w:val="00630B69"/>
    <w:rsid w:val="00631A62"/>
    <w:rsid w:val="00632142"/>
    <w:rsid w:val="006321E0"/>
    <w:rsid w:val="00633CCA"/>
    <w:rsid w:val="00634456"/>
    <w:rsid w:val="00637020"/>
    <w:rsid w:val="00637077"/>
    <w:rsid w:val="00637D93"/>
    <w:rsid w:val="0064065D"/>
    <w:rsid w:val="00644373"/>
    <w:rsid w:val="0064443B"/>
    <w:rsid w:val="00644767"/>
    <w:rsid w:val="00645C1C"/>
    <w:rsid w:val="00650E5D"/>
    <w:rsid w:val="006511E0"/>
    <w:rsid w:val="006513CD"/>
    <w:rsid w:val="006516E6"/>
    <w:rsid w:val="00651BB3"/>
    <w:rsid w:val="006540F0"/>
    <w:rsid w:val="00654685"/>
    <w:rsid w:val="00654B80"/>
    <w:rsid w:val="00655251"/>
    <w:rsid w:val="00655343"/>
    <w:rsid w:val="00655E00"/>
    <w:rsid w:val="0066143F"/>
    <w:rsid w:val="00662215"/>
    <w:rsid w:val="006624F9"/>
    <w:rsid w:val="00662FF1"/>
    <w:rsid w:val="0066573C"/>
    <w:rsid w:val="00665E67"/>
    <w:rsid w:val="00666A77"/>
    <w:rsid w:val="00666D8D"/>
    <w:rsid w:val="00670088"/>
    <w:rsid w:val="0067137B"/>
    <w:rsid w:val="00672414"/>
    <w:rsid w:val="00674149"/>
    <w:rsid w:val="00680628"/>
    <w:rsid w:val="00685350"/>
    <w:rsid w:val="00685D8F"/>
    <w:rsid w:val="006867E2"/>
    <w:rsid w:val="00686CA1"/>
    <w:rsid w:val="006876D2"/>
    <w:rsid w:val="006900A9"/>
    <w:rsid w:val="0069161F"/>
    <w:rsid w:val="00692567"/>
    <w:rsid w:val="006934B1"/>
    <w:rsid w:val="00693747"/>
    <w:rsid w:val="00694143"/>
    <w:rsid w:val="006959D4"/>
    <w:rsid w:val="00695CCB"/>
    <w:rsid w:val="006978A3"/>
    <w:rsid w:val="00697F05"/>
    <w:rsid w:val="006A0BDF"/>
    <w:rsid w:val="006A3760"/>
    <w:rsid w:val="006A3866"/>
    <w:rsid w:val="006B07C2"/>
    <w:rsid w:val="006B0DAA"/>
    <w:rsid w:val="006B11D9"/>
    <w:rsid w:val="006B1AA1"/>
    <w:rsid w:val="006B2207"/>
    <w:rsid w:val="006B2DC0"/>
    <w:rsid w:val="006B346C"/>
    <w:rsid w:val="006B5971"/>
    <w:rsid w:val="006B6434"/>
    <w:rsid w:val="006B66AF"/>
    <w:rsid w:val="006B7901"/>
    <w:rsid w:val="006C0B95"/>
    <w:rsid w:val="006C1045"/>
    <w:rsid w:val="006C2343"/>
    <w:rsid w:val="006C368A"/>
    <w:rsid w:val="006C3AE8"/>
    <w:rsid w:val="006C3F90"/>
    <w:rsid w:val="006C67AB"/>
    <w:rsid w:val="006C7569"/>
    <w:rsid w:val="006C7628"/>
    <w:rsid w:val="006D04E7"/>
    <w:rsid w:val="006D13A1"/>
    <w:rsid w:val="006D3759"/>
    <w:rsid w:val="006D4E63"/>
    <w:rsid w:val="006D5707"/>
    <w:rsid w:val="006D64FD"/>
    <w:rsid w:val="006D6C2B"/>
    <w:rsid w:val="006E0FE7"/>
    <w:rsid w:val="006E11E9"/>
    <w:rsid w:val="006E1C1D"/>
    <w:rsid w:val="006E1DC8"/>
    <w:rsid w:val="006E2EE3"/>
    <w:rsid w:val="006E379B"/>
    <w:rsid w:val="006E4F0B"/>
    <w:rsid w:val="006E5253"/>
    <w:rsid w:val="006E53FD"/>
    <w:rsid w:val="006E5659"/>
    <w:rsid w:val="006E648B"/>
    <w:rsid w:val="006F0811"/>
    <w:rsid w:val="006F343A"/>
    <w:rsid w:val="006F46FD"/>
    <w:rsid w:val="006F7015"/>
    <w:rsid w:val="006F7DE7"/>
    <w:rsid w:val="0070075F"/>
    <w:rsid w:val="0070686A"/>
    <w:rsid w:val="00713C4C"/>
    <w:rsid w:val="007142C9"/>
    <w:rsid w:val="00714BAE"/>
    <w:rsid w:val="007160B2"/>
    <w:rsid w:val="00716304"/>
    <w:rsid w:val="00720263"/>
    <w:rsid w:val="007220FA"/>
    <w:rsid w:val="00722F04"/>
    <w:rsid w:val="007232A9"/>
    <w:rsid w:val="0072359A"/>
    <w:rsid w:val="00726CCF"/>
    <w:rsid w:val="00726F10"/>
    <w:rsid w:val="0072772A"/>
    <w:rsid w:val="00727B08"/>
    <w:rsid w:val="00731961"/>
    <w:rsid w:val="007327CD"/>
    <w:rsid w:val="00733B2A"/>
    <w:rsid w:val="00735237"/>
    <w:rsid w:val="0073609A"/>
    <w:rsid w:val="00736770"/>
    <w:rsid w:val="00736781"/>
    <w:rsid w:val="007415A0"/>
    <w:rsid w:val="00743EEB"/>
    <w:rsid w:val="0074412D"/>
    <w:rsid w:val="0074439F"/>
    <w:rsid w:val="00746C1F"/>
    <w:rsid w:val="007472A7"/>
    <w:rsid w:val="00751293"/>
    <w:rsid w:val="00752841"/>
    <w:rsid w:val="00755227"/>
    <w:rsid w:val="00760A84"/>
    <w:rsid w:val="00762E09"/>
    <w:rsid w:val="00764592"/>
    <w:rsid w:val="00764CEC"/>
    <w:rsid w:val="0077021C"/>
    <w:rsid w:val="00771168"/>
    <w:rsid w:val="00772BB7"/>
    <w:rsid w:val="00773055"/>
    <w:rsid w:val="007736C9"/>
    <w:rsid w:val="007752E9"/>
    <w:rsid w:val="00775E2E"/>
    <w:rsid w:val="0078007B"/>
    <w:rsid w:val="00781F95"/>
    <w:rsid w:val="00783601"/>
    <w:rsid w:val="00784414"/>
    <w:rsid w:val="00786461"/>
    <w:rsid w:val="00790F20"/>
    <w:rsid w:val="00791009"/>
    <w:rsid w:val="00793FAD"/>
    <w:rsid w:val="00794264"/>
    <w:rsid w:val="007955D9"/>
    <w:rsid w:val="00795654"/>
    <w:rsid w:val="0079568B"/>
    <w:rsid w:val="00796B8E"/>
    <w:rsid w:val="00796E01"/>
    <w:rsid w:val="007A15D9"/>
    <w:rsid w:val="007A3C76"/>
    <w:rsid w:val="007A3F62"/>
    <w:rsid w:val="007A6573"/>
    <w:rsid w:val="007A75F2"/>
    <w:rsid w:val="007B063B"/>
    <w:rsid w:val="007B1056"/>
    <w:rsid w:val="007B442F"/>
    <w:rsid w:val="007B6A94"/>
    <w:rsid w:val="007B6C07"/>
    <w:rsid w:val="007B794D"/>
    <w:rsid w:val="007B7EAE"/>
    <w:rsid w:val="007C0B39"/>
    <w:rsid w:val="007C1346"/>
    <w:rsid w:val="007C1EBC"/>
    <w:rsid w:val="007C3018"/>
    <w:rsid w:val="007C43EA"/>
    <w:rsid w:val="007C495E"/>
    <w:rsid w:val="007C7504"/>
    <w:rsid w:val="007C79E8"/>
    <w:rsid w:val="007D00CA"/>
    <w:rsid w:val="007D0D54"/>
    <w:rsid w:val="007D1F9B"/>
    <w:rsid w:val="007D26BF"/>
    <w:rsid w:val="007D4383"/>
    <w:rsid w:val="007D4925"/>
    <w:rsid w:val="007D49D2"/>
    <w:rsid w:val="007D5132"/>
    <w:rsid w:val="007D659F"/>
    <w:rsid w:val="007E0631"/>
    <w:rsid w:val="007E1039"/>
    <w:rsid w:val="007E6215"/>
    <w:rsid w:val="007F08E7"/>
    <w:rsid w:val="007F1101"/>
    <w:rsid w:val="007F1E26"/>
    <w:rsid w:val="007F2F3D"/>
    <w:rsid w:val="007F3C78"/>
    <w:rsid w:val="007F6522"/>
    <w:rsid w:val="007F7185"/>
    <w:rsid w:val="007F734A"/>
    <w:rsid w:val="0080243A"/>
    <w:rsid w:val="0080529C"/>
    <w:rsid w:val="008078FC"/>
    <w:rsid w:val="00810B18"/>
    <w:rsid w:val="00814978"/>
    <w:rsid w:val="00815022"/>
    <w:rsid w:val="00815C1A"/>
    <w:rsid w:val="0081672E"/>
    <w:rsid w:val="00816CE4"/>
    <w:rsid w:val="00820E21"/>
    <w:rsid w:val="00821987"/>
    <w:rsid w:val="008248D7"/>
    <w:rsid w:val="00826E67"/>
    <w:rsid w:val="00831A83"/>
    <w:rsid w:val="00832726"/>
    <w:rsid w:val="00833EF9"/>
    <w:rsid w:val="00840FA8"/>
    <w:rsid w:val="008418E6"/>
    <w:rsid w:val="00842264"/>
    <w:rsid w:val="0084266D"/>
    <w:rsid w:val="008444FE"/>
    <w:rsid w:val="008447F0"/>
    <w:rsid w:val="00850138"/>
    <w:rsid w:val="008506E0"/>
    <w:rsid w:val="008509CD"/>
    <w:rsid w:val="00850D7D"/>
    <w:rsid w:val="0085120C"/>
    <w:rsid w:val="008513E9"/>
    <w:rsid w:val="0085185F"/>
    <w:rsid w:val="00851D59"/>
    <w:rsid w:val="00853A67"/>
    <w:rsid w:val="00853D3A"/>
    <w:rsid w:val="0085494E"/>
    <w:rsid w:val="00854C92"/>
    <w:rsid w:val="0085707D"/>
    <w:rsid w:val="008573BA"/>
    <w:rsid w:val="00861787"/>
    <w:rsid w:val="00862318"/>
    <w:rsid w:val="00865324"/>
    <w:rsid w:val="008675FF"/>
    <w:rsid w:val="00867A96"/>
    <w:rsid w:val="00872FC8"/>
    <w:rsid w:val="00874318"/>
    <w:rsid w:val="00874C3A"/>
    <w:rsid w:val="00875F6E"/>
    <w:rsid w:val="00881C09"/>
    <w:rsid w:val="00882D3C"/>
    <w:rsid w:val="0088312D"/>
    <w:rsid w:val="00883923"/>
    <w:rsid w:val="0088428F"/>
    <w:rsid w:val="00884B4A"/>
    <w:rsid w:val="00884DE1"/>
    <w:rsid w:val="00884FEA"/>
    <w:rsid w:val="00885F29"/>
    <w:rsid w:val="008868FC"/>
    <w:rsid w:val="008904C3"/>
    <w:rsid w:val="00890F37"/>
    <w:rsid w:val="00891921"/>
    <w:rsid w:val="00891EB2"/>
    <w:rsid w:val="00895830"/>
    <w:rsid w:val="00895B36"/>
    <w:rsid w:val="0089642E"/>
    <w:rsid w:val="008965CE"/>
    <w:rsid w:val="008A109F"/>
    <w:rsid w:val="008A191A"/>
    <w:rsid w:val="008A2954"/>
    <w:rsid w:val="008A2E10"/>
    <w:rsid w:val="008A32FA"/>
    <w:rsid w:val="008A3840"/>
    <w:rsid w:val="008A3C10"/>
    <w:rsid w:val="008A5472"/>
    <w:rsid w:val="008A5515"/>
    <w:rsid w:val="008A7E10"/>
    <w:rsid w:val="008B02A9"/>
    <w:rsid w:val="008B15A9"/>
    <w:rsid w:val="008B1B3A"/>
    <w:rsid w:val="008B1D5C"/>
    <w:rsid w:val="008B1F64"/>
    <w:rsid w:val="008B2954"/>
    <w:rsid w:val="008B3B73"/>
    <w:rsid w:val="008B402B"/>
    <w:rsid w:val="008B4EB9"/>
    <w:rsid w:val="008B69B0"/>
    <w:rsid w:val="008C06A8"/>
    <w:rsid w:val="008C0A80"/>
    <w:rsid w:val="008C2583"/>
    <w:rsid w:val="008C26AD"/>
    <w:rsid w:val="008C541A"/>
    <w:rsid w:val="008C5A9C"/>
    <w:rsid w:val="008C737C"/>
    <w:rsid w:val="008C7DF9"/>
    <w:rsid w:val="008C7F9A"/>
    <w:rsid w:val="008D1DAE"/>
    <w:rsid w:val="008D2168"/>
    <w:rsid w:val="008D3624"/>
    <w:rsid w:val="008D4830"/>
    <w:rsid w:val="008D5B63"/>
    <w:rsid w:val="008D7441"/>
    <w:rsid w:val="008D75CD"/>
    <w:rsid w:val="008E2A66"/>
    <w:rsid w:val="008E311E"/>
    <w:rsid w:val="008E3317"/>
    <w:rsid w:val="008E4B61"/>
    <w:rsid w:val="008E6388"/>
    <w:rsid w:val="008E7D9C"/>
    <w:rsid w:val="008F0184"/>
    <w:rsid w:val="008F260E"/>
    <w:rsid w:val="008F37EB"/>
    <w:rsid w:val="008F4DA6"/>
    <w:rsid w:val="008F52F2"/>
    <w:rsid w:val="008F5C73"/>
    <w:rsid w:val="008F63EE"/>
    <w:rsid w:val="009016AD"/>
    <w:rsid w:val="00901F13"/>
    <w:rsid w:val="00902F83"/>
    <w:rsid w:val="00902FFA"/>
    <w:rsid w:val="00903BF7"/>
    <w:rsid w:val="009042CA"/>
    <w:rsid w:val="00904F3B"/>
    <w:rsid w:val="0090547A"/>
    <w:rsid w:val="00905782"/>
    <w:rsid w:val="00906A10"/>
    <w:rsid w:val="00911F6B"/>
    <w:rsid w:val="00912098"/>
    <w:rsid w:val="00913F37"/>
    <w:rsid w:val="00915D7D"/>
    <w:rsid w:val="00916C33"/>
    <w:rsid w:val="00923B34"/>
    <w:rsid w:val="009244E2"/>
    <w:rsid w:val="00925217"/>
    <w:rsid w:val="00925A76"/>
    <w:rsid w:val="00926427"/>
    <w:rsid w:val="009266AB"/>
    <w:rsid w:val="00926BB5"/>
    <w:rsid w:val="00927A03"/>
    <w:rsid w:val="00933A59"/>
    <w:rsid w:val="009347C4"/>
    <w:rsid w:val="00935E89"/>
    <w:rsid w:val="009360D2"/>
    <w:rsid w:val="00936914"/>
    <w:rsid w:val="00937256"/>
    <w:rsid w:val="0094078D"/>
    <w:rsid w:val="00940DF1"/>
    <w:rsid w:val="00942963"/>
    <w:rsid w:val="009429F0"/>
    <w:rsid w:val="00942B93"/>
    <w:rsid w:val="0094586C"/>
    <w:rsid w:val="00945DBB"/>
    <w:rsid w:val="00947F67"/>
    <w:rsid w:val="00951CE5"/>
    <w:rsid w:val="00952486"/>
    <w:rsid w:val="00952D64"/>
    <w:rsid w:val="00954A1A"/>
    <w:rsid w:val="00954AE7"/>
    <w:rsid w:val="00960FB6"/>
    <w:rsid w:val="009622C3"/>
    <w:rsid w:val="00962B09"/>
    <w:rsid w:val="00962C01"/>
    <w:rsid w:val="009638A7"/>
    <w:rsid w:val="00970C7A"/>
    <w:rsid w:val="009712EE"/>
    <w:rsid w:val="009718C8"/>
    <w:rsid w:val="009725B7"/>
    <w:rsid w:val="009729B8"/>
    <w:rsid w:val="00973A3D"/>
    <w:rsid w:val="00974D55"/>
    <w:rsid w:val="00975BD8"/>
    <w:rsid w:val="00977468"/>
    <w:rsid w:val="00980FB3"/>
    <w:rsid w:val="009811E1"/>
    <w:rsid w:val="00981975"/>
    <w:rsid w:val="00981A1C"/>
    <w:rsid w:val="0098231C"/>
    <w:rsid w:val="00982965"/>
    <w:rsid w:val="009841CD"/>
    <w:rsid w:val="00984E38"/>
    <w:rsid w:val="00985419"/>
    <w:rsid w:val="0098588B"/>
    <w:rsid w:val="0098649D"/>
    <w:rsid w:val="009869D0"/>
    <w:rsid w:val="00986A51"/>
    <w:rsid w:val="00992E4C"/>
    <w:rsid w:val="009938D8"/>
    <w:rsid w:val="00993E0F"/>
    <w:rsid w:val="00993E7A"/>
    <w:rsid w:val="009940FF"/>
    <w:rsid w:val="0099463A"/>
    <w:rsid w:val="00994EE6"/>
    <w:rsid w:val="00997EA4"/>
    <w:rsid w:val="009A1074"/>
    <w:rsid w:val="009A1307"/>
    <w:rsid w:val="009A2271"/>
    <w:rsid w:val="009A27CA"/>
    <w:rsid w:val="009A2908"/>
    <w:rsid w:val="009A323C"/>
    <w:rsid w:val="009A3D6A"/>
    <w:rsid w:val="009A5006"/>
    <w:rsid w:val="009A73A6"/>
    <w:rsid w:val="009B1195"/>
    <w:rsid w:val="009B3612"/>
    <w:rsid w:val="009B62DE"/>
    <w:rsid w:val="009B7F67"/>
    <w:rsid w:val="009C2820"/>
    <w:rsid w:val="009C2EE3"/>
    <w:rsid w:val="009C32E7"/>
    <w:rsid w:val="009C633A"/>
    <w:rsid w:val="009C64BB"/>
    <w:rsid w:val="009C722B"/>
    <w:rsid w:val="009D0295"/>
    <w:rsid w:val="009D105C"/>
    <w:rsid w:val="009D1F8F"/>
    <w:rsid w:val="009D25CE"/>
    <w:rsid w:val="009D3349"/>
    <w:rsid w:val="009D3550"/>
    <w:rsid w:val="009D5815"/>
    <w:rsid w:val="009D6F03"/>
    <w:rsid w:val="009D79B7"/>
    <w:rsid w:val="009D7E09"/>
    <w:rsid w:val="009E1295"/>
    <w:rsid w:val="009E36D2"/>
    <w:rsid w:val="009E3B99"/>
    <w:rsid w:val="009E48FE"/>
    <w:rsid w:val="009E5FC0"/>
    <w:rsid w:val="009F4A37"/>
    <w:rsid w:val="009F590F"/>
    <w:rsid w:val="009F59A5"/>
    <w:rsid w:val="009F698A"/>
    <w:rsid w:val="009F707B"/>
    <w:rsid w:val="009F7557"/>
    <w:rsid w:val="00A0577B"/>
    <w:rsid w:val="00A06C5D"/>
    <w:rsid w:val="00A077A3"/>
    <w:rsid w:val="00A100DC"/>
    <w:rsid w:val="00A11198"/>
    <w:rsid w:val="00A1234E"/>
    <w:rsid w:val="00A128CD"/>
    <w:rsid w:val="00A134A2"/>
    <w:rsid w:val="00A158EA"/>
    <w:rsid w:val="00A17F64"/>
    <w:rsid w:val="00A17F87"/>
    <w:rsid w:val="00A20112"/>
    <w:rsid w:val="00A223CB"/>
    <w:rsid w:val="00A223CC"/>
    <w:rsid w:val="00A22E75"/>
    <w:rsid w:val="00A23117"/>
    <w:rsid w:val="00A23150"/>
    <w:rsid w:val="00A24B59"/>
    <w:rsid w:val="00A267E7"/>
    <w:rsid w:val="00A300B8"/>
    <w:rsid w:val="00A3035F"/>
    <w:rsid w:val="00A30935"/>
    <w:rsid w:val="00A32538"/>
    <w:rsid w:val="00A35CB0"/>
    <w:rsid w:val="00A35E20"/>
    <w:rsid w:val="00A42FB2"/>
    <w:rsid w:val="00A4383F"/>
    <w:rsid w:val="00A445C4"/>
    <w:rsid w:val="00A4497B"/>
    <w:rsid w:val="00A46F80"/>
    <w:rsid w:val="00A51202"/>
    <w:rsid w:val="00A51498"/>
    <w:rsid w:val="00A52FE1"/>
    <w:rsid w:val="00A53538"/>
    <w:rsid w:val="00A5481E"/>
    <w:rsid w:val="00A54984"/>
    <w:rsid w:val="00A551D2"/>
    <w:rsid w:val="00A5566C"/>
    <w:rsid w:val="00A5677B"/>
    <w:rsid w:val="00A605D3"/>
    <w:rsid w:val="00A616DE"/>
    <w:rsid w:val="00A61C53"/>
    <w:rsid w:val="00A61D94"/>
    <w:rsid w:val="00A64342"/>
    <w:rsid w:val="00A65154"/>
    <w:rsid w:val="00A661AA"/>
    <w:rsid w:val="00A6694D"/>
    <w:rsid w:val="00A67845"/>
    <w:rsid w:val="00A67F06"/>
    <w:rsid w:val="00A7084B"/>
    <w:rsid w:val="00A70FD1"/>
    <w:rsid w:val="00A7213D"/>
    <w:rsid w:val="00A7382F"/>
    <w:rsid w:val="00A75104"/>
    <w:rsid w:val="00A764A0"/>
    <w:rsid w:val="00A77782"/>
    <w:rsid w:val="00A77A9C"/>
    <w:rsid w:val="00A8028F"/>
    <w:rsid w:val="00A80E94"/>
    <w:rsid w:val="00A81BAB"/>
    <w:rsid w:val="00A82259"/>
    <w:rsid w:val="00A82F4B"/>
    <w:rsid w:val="00A835EA"/>
    <w:rsid w:val="00A83991"/>
    <w:rsid w:val="00A83FA3"/>
    <w:rsid w:val="00A842A9"/>
    <w:rsid w:val="00A9056E"/>
    <w:rsid w:val="00A90717"/>
    <w:rsid w:val="00A91789"/>
    <w:rsid w:val="00A94DE3"/>
    <w:rsid w:val="00A967A1"/>
    <w:rsid w:val="00A9768B"/>
    <w:rsid w:val="00AA1670"/>
    <w:rsid w:val="00AA1949"/>
    <w:rsid w:val="00AA1D6F"/>
    <w:rsid w:val="00AA1E68"/>
    <w:rsid w:val="00AA2884"/>
    <w:rsid w:val="00AA3428"/>
    <w:rsid w:val="00AA3571"/>
    <w:rsid w:val="00AA3C68"/>
    <w:rsid w:val="00AA3FA3"/>
    <w:rsid w:val="00AA4791"/>
    <w:rsid w:val="00AA7CBD"/>
    <w:rsid w:val="00AB10FF"/>
    <w:rsid w:val="00AB168F"/>
    <w:rsid w:val="00AB192C"/>
    <w:rsid w:val="00AB1DD6"/>
    <w:rsid w:val="00AB2580"/>
    <w:rsid w:val="00AB328C"/>
    <w:rsid w:val="00AB4AA2"/>
    <w:rsid w:val="00AB4C0C"/>
    <w:rsid w:val="00AB4C70"/>
    <w:rsid w:val="00AB4FAE"/>
    <w:rsid w:val="00AB5272"/>
    <w:rsid w:val="00AB52BA"/>
    <w:rsid w:val="00AB6F50"/>
    <w:rsid w:val="00AC0377"/>
    <w:rsid w:val="00AC076B"/>
    <w:rsid w:val="00AC44CE"/>
    <w:rsid w:val="00AD14F3"/>
    <w:rsid w:val="00AD416E"/>
    <w:rsid w:val="00AD4F8C"/>
    <w:rsid w:val="00AD5A06"/>
    <w:rsid w:val="00AE01C1"/>
    <w:rsid w:val="00AE1807"/>
    <w:rsid w:val="00AE214D"/>
    <w:rsid w:val="00AE2A90"/>
    <w:rsid w:val="00AE3CC7"/>
    <w:rsid w:val="00AE638E"/>
    <w:rsid w:val="00AE6552"/>
    <w:rsid w:val="00AE77AF"/>
    <w:rsid w:val="00AE7E46"/>
    <w:rsid w:val="00AF0B1E"/>
    <w:rsid w:val="00AF2AAF"/>
    <w:rsid w:val="00AF3083"/>
    <w:rsid w:val="00AF6293"/>
    <w:rsid w:val="00AF6A23"/>
    <w:rsid w:val="00AF6ABE"/>
    <w:rsid w:val="00AF737C"/>
    <w:rsid w:val="00B02591"/>
    <w:rsid w:val="00B02BC0"/>
    <w:rsid w:val="00B02DEE"/>
    <w:rsid w:val="00B035AA"/>
    <w:rsid w:val="00B03861"/>
    <w:rsid w:val="00B058B3"/>
    <w:rsid w:val="00B06DEC"/>
    <w:rsid w:val="00B11767"/>
    <w:rsid w:val="00B1198F"/>
    <w:rsid w:val="00B12E3F"/>
    <w:rsid w:val="00B13049"/>
    <w:rsid w:val="00B17464"/>
    <w:rsid w:val="00B177B6"/>
    <w:rsid w:val="00B17DF6"/>
    <w:rsid w:val="00B20B9B"/>
    <w:rsid w:val="00B23145"/>
    <w:rsid w:val="00B2430F"/>
    <w:rsid w:val="00B247BF"/>
    <w:rsid w:val="00B31E4F"/>
    <w:rsid w:val="00B31E85"/>
    <w:rsid w:val="00B32229"/>
    <w:rsid w:val="00B33F30"/>
    <w:rsid w:val="00B350F1"/>
    <w:rsid w:val="00B35428"/>
    <w:rsid w:val="00B359A5"/>
    <w:rsid w:val="00B35CCD"/>
    <w:rsid w:val="00B43801"/>
    <w:rsid w:val="00B4398C"/>
    <w:rsid w:val="00B43B2E"/>
    <w:rsid w:val="00B458AC"/>
    <w:rsid w:val="00B464E1"/>
    <w:rsid w:val="00B53100"/>
    <w:rsid w:val="00B53181"/>
    <w:rsid w:val="00B54D96"/>
    <w:rsid w:val="00B55754"/>
    <w:rsid w:val="00B56428"/>
    <w:rsid w:val="00B613EE"/>
    <w:rsid w:val="00B6241D"/>
    <w:rsid w:val="00B72D12"/>
    <w:rsid w:val="00B73C4D"/>
    <w:rsid w:val="00B742AA"/>
    <w:rsid w:val="00B75B41"/>
    <w:rsid w:val="00B80767"/>
    <w:rsid w:val="00B8173F"/>
    <w:rsid w:val="00B82EC5"/>
    <w:rsid w:val="00B83F8D"/>
    <w:rsid w:val="00B8444E"/>
    <w:rsid w:val="00B84847"/>
    <w:rsid w:val="00B85924"/>
    <w:rsid w:val="00B867E1"/>
    <w:rsid w:val="00B900BF"/>
    <w:rsid w:val="00B91B4E"/>
    <w:rsid w:val="00B938C2"/>
    <w:rsid w:val="00B9452D"/>
    <w:rsid w:val="00BA030E"/>
    <w:rsid w:val="00BA42E4"/>
    <w:rsid w:val="00BA573C"/>
    <w:rsid w:val="00BB57EE"/>
    <w:rsid w:val="00BB5A73"/>
    <w:rsid w:val="00BB622E"/>
    <w:rsid w:val="00BB7425"/>
    <w:rsid w:val="00BC0141"/>
    <w:rsid w:val="00BC1CE7"/>
    <w:rsid w:val="00BC1FEB"/>
    <w:rsid w:val="00BC583C"/>
    <w:rsid w:val="00BC74FC"/>
    <w:rsid w:val="00BD0B3C"/>
    <w:rsid w:val="00BD0BB2"/>
    <w:rsid w:val="00BD0F29"/>
    <w:rsid w:val="00BD1F36"/>
    <w:rsid w:val="00BD3D63"/>
    <w:rsid w:val="00BD4869"/>
    <w:rsid w:val="00BD4D1E"/>
    <w:rsid w:val="00BD5040"/>
    <w:rsid w:val="00BD57CA"/>
    <w:rsid w:val="00BD5C56"/>
    <w:rsid w:val="00BD6B4E"/>
    <w:rsid w:val="00BD73E3"/>
    <w:rsid w:val="00BE3ABA"/>
    <w:rsid w:val="00BE3B5B"/>
    <w:rsid w:val="00BE7344"/>
    <w:rsid w:val="00BE7C5A"/>
    <w:rsid w:val="00BF0B14"/>
    <w:rsid w:val="00BF1983"/>
    <w:rsid w:val="00BF23D0"/>
    <w:rsid w:val="00BF40D9"/>
    <w:rsid w:val="00BF40FE"/>
    <w:rsid w:val="00BF514E"/>
    <w:rsid w:val="00BF6A28"/>
    <w:rsid w:val="00BF7C31"/>
    <w:rsid w:val="00C002AE"/>
    <w:rsid w:val="00C0145D"/>
    <w:rsid w:val="00C039ED"/>
    <w:rsid w:val="00C05C10"/>
    <w:rsid w:val="00C11A00"/>
    <w:rsid w:val="00C11F5F"/>
    <w:rsid w:val="00C164CA"/>
    <w:rsid w:val="00C166B7"/>
    <w:rsid w:val="00C2092F"/>
    <w:rsid w:val="00C2138D"/>
    <w:rsid w:val="00C22027"/>
    <w:rsid w:val="00C230D2"/>
    <w:rsid w:val="00C230E9"/>
    <w:rsid w:val="00C23914"/>
    <w:rsid w:val="00C25131"/>
    <w:rsid w:val="00C258A0"/>
    <w:rsid w:val="00C25AE6"/>
    <w:rsid w:val="00C25F1F"/>
    <w:rsid w:val="00C3170F"/>
    <w:rsid w:val="00C322F3"/>
    <w:rsid w:val="00C32494"/>
    <w:rsid w:val="00C34384"/>
    <w:rsid w:val="00C34F5A"/>
    <w:rsid w:val="00C357C4"/>
    <w:rsid w:val="00C36F11"/>
    <w:rsid w:val="00C376D0"/>
    <w:rsid w:val="00C404CC"/>
    <w:rsid w:val="00C40A3E"/>
    <w:rsid w:val="00C40AB6"/>
    <w:rsid w:val="00C40C1F"/>
    <w:rsid w:val="00C41EAC"/>
    <w:rsid w:val="00C41F0E"/>
    <w:rsid w:val="00C44727"/>
    <w:rsid w:val="00C469E5"/>
    <w:rsid w:val="00C47CCD"/>
    <w:rsid w:val="00C527F2"/>
    <w:rsid w:val="00C529C9"/>
    <w:rsid w:val="00C54E0B"/>
    <w:rsid w:val="00C56098"/>
    <w:rsid w:val="00C56B52"/>
    <w:rsid w:val="00C57614"/>
    <w:rsid w:val="00C57EB9"/>
    <w:rsid w:val="00C57EC3"/>
    <w:rsid w:val="00C6272C"/>
    <w:rsid w:val="00C629FD"/>
    <w:rsid w:val="00C63BA4"/>
    <w:rsid w:val="00C64125"/>
    <w:rsid w:val="00C73321"/>
    <w:rsid w:val="00C73D88"/>
    <w:rsid w:val="00C73E11"/>
    <w:rsid w:val="00C751D8"/>
    <w:rsid w:val="00C761D9"/>
    <w:rsid w:val="00C761F5"/>
    <w:rsid w:val="00C76EA0"/>
    <w:rsid w:val="00C772C7"/>
    <w:rsid w:val="00C819A4"/>
    <w:rsid w:val="00C81EF3"/>
    <w:rsid w:val="00C84900"/>
    <w:rsid w:val="00C8503E"/>
    <w:rsid w:val="00C850CA"/>
    <w:rsid w:val="00C856C3"/>
    <w:rsid w:val="00C86165"/>
    <w:rsid w:val="00C86963"/>
    <w:rsid w:val="00C87CC7"/>
    <w:rsid w:val="00C87D5A"/>
    <w:rsid w:val="00C90B3B"/>
    <w:rsid w:val="00C92AA6"/>
    <w:rsid w:val="00C92EC7"/>
    <w:rsid w:val="00C93F93"/>
    <w:rsid w:val="00C94925"/>
    <w:rsid w:val="00C94CD5"/>
    <w:rsid w:val="00CA3144"/>
    <w:rsid w:val="00CA3589"/>
    <w:rsid w:val="00CA3D6A"/>
    <w:rsid w:val="00CA4268"/>
    <w:rsid w:val="00CA5CD0"/>
    <w:rsid w:val="00CA64A9"/>
    <w:rsid w:val="00CA6E45"/>
    <w:rsid w:val="00CA7662"/>
    <w:rsid w:val="00CB0BD6"/>
    <w:rsid w:val="00CB1195"/>
    <w:rsid w:val="00CB2400"/>
    <w:rsid w:val="00CB2C25"/>
    <w:rsid w:val="00CB4F34"/>
    <w:rsid w:val="00CB55AE"/>
    <w:rsid w:val="00CC0A2B"/>
    <w:rsid w:val="00CC11FE"/>
    <w:rsid w:val="00CC3915"/>
    <w:rsid w:val="00CC71C5"/>
    <w:rsid w:val="00CD0CA6"/>
    <w:rsid w:val="00CD2525"/>
    <w:rsid w:val="00CD3F77"/>
    <w:rsid w:val="00CD49BC"/>
    <w:rsid w:val="00CD4DA6"/>
    <w:rsid w:val="00CD51BA"/>
    <w:rsid w:val="00CD553E"/>
    <w:rsid w:val="00CD5F9E"/>
    <w:rsid w:val="00CE2343"/>
    <w:rsid w:val="00CE35EA"/>
    <w:rsid w:val="00CE3DC9"/>
    <w:rsid w:val="00CE4220"/>
    <w:rsid w:val="00CE4305"/>
    <w:rsid w:val="00CE5D74"/>
    <w:rsid w:val="00CE6440"/>
    <w:rsid w:val="00CE7701"/>
    <w:rsid w:val="00CF0768"/>
    <w:rsid w:val="00CF37AF"/>
    <w:rsid w:val="00CF4073"/>
    <w:rsid w:val="00CF4216"/>
    <w:rsid w:val="00CF467B"/>
    <w:rsid w:val="00CF5FA6"/>
    <w:rsid w:val="00CF6C7C"/>
    <w:rsid w:val="00D000D6"/>
    <w:rsid w:val="00D03B0B"/>
    <w:rsid w:val="00D03E36"/>
    <w:rsid w:val="00D0470A"/>
    <w:rsid w:val="00D11561"/>
    <w:rsid w:val="00D13591"/>
    <w:rsid w:val="00D136AE"/>
    <w:rsid w:val="00D1486E"/>
    <w:rsid w:val="00D14BED"/>
    <w:rsid w:val="00D16436"/>
    <w:rsid w:val="00D16B2D"/>
    <w:rsid w:val="00D1752B"/>
    <w:rsid w:val="00D24815"/>
    <w:rsid w:val="00D304C7"/>
    <w:rsid w:val="00D3104D"/>
    <w:rsid w:val="00D3114A"/>
    <w:rsid w:val="00D32F55"/>
    <w:rsid w:val="00D3305D"/>
    <w:rsid w:val="00D3366C"/>
    <w:rsid w:val="00D37A7C"/>
    <w:rsid w:val="00D37F7C"/>
    <w:rsid w:val="00D440EA"/>
    <w:rsid w:val="00D44B53"/>
    <w:rsid w:val="00D454CB"/>
    <w:rsid w:val="00D469EB"/>
    <w:rsid w:val="00D5128A"/>
    <w:rsid w:val="00D51EB4"/>
    <w:rsid w:val="00D52BA7"/>
    <w:rsid w:val="00D52D2D"/>
    <w:rsid w:val="00D54CE0"/>
    <w:rsid w:val="00D55084"/>
    <w:rsid w:val="00D55392"/>
    <w:rsid w:val="00D55C60"/>
    <w:rsid w:val="00D5669B"/>
    <w:rsid w:val="00D605A9"/>
    <w:rsid w:val="00D610B0"/>
    <w:rsid w:val="00D624E6"/>
    <w:rsid w:val="00D62624"/>
    <w:rsid w:val="00D62DBD"/>
    <w:rsid w:val="00D6671E"/>
    <w:rsid w:val="00D670F8"/>
    <w:rsid w:val="00D67446"/>
    <w:rsid w:val="00D67D6A"/>
    <w:rsid w:val="00D70AAA"/>
    <w:rsid w:val="00D735CD"/>
    <w:rsid w:val="00D7389B"/>
    <w:rsid w:val="00D7490D"/>
    <w:rsid w:val="00D778E6"/>
    <w:rsid w:val="00D80007"/>
    <w:rsid w:val="00D80AE9"/>
    <w:rsid w:val="00D81AB1"/>
    <w:rsid w:val="00D82608"/>
    <w:rsid w:val="00D82B40"/>
    <w:rsid w:val="00D85978"/>
    <w:rsid w:val="00D942D7"/>
    <w:rsid w:val="00D9563A"/>
    <w:rsid w:val="00D95C30"/>
    <w:rsid w:val="00D95F8C"/>
    <w:rsid w:val="00D964EC"/>
    <w:rsid w:val="00D96C16"/>
    <w:rsid w:val="00D96C9C"/>
    <w:rsid w:val="00DA0A0E"/>
    <w:rsid w:val="00DA1B60"/>
    <w:rsid w:val="00DA20A9"/>
    <w:rsid w:val="00DA2A2D"/>
    <w:rsid w:val="00DA3011"/>
    <w:rsid w:val="00DA38E6"/>
    <w:rsid w:val="00DA3F8C"/>
    <w:rsid w:val="00DA44B7"/>
    <w:rsid w:val="00DA4C6D"/>
    <w:rsid w:val="00DA52B0"/>
    <w:rsid w:val="00DA6147"/>
    <w:rsid w:val="00DA6D29"/>
    <w:rsid w:val="00DB09F5"/>
    <w:rsid w:val="00DB4EA5"/>
    <w:rsid w:val="00DB6980"/>
    <w:rsid w:val="00DB750B"/>
    <w:rsid w:val="00DC50B6"/>
    <w:rsid w:val="00DC686C"/>
    <w:rsid w:val="00DC6FAB"/>
    <w:rsid w:val="00DD08AA"/>
    <w:rsid w:val="00DD111C"/>
    <w:rsid w:val="00DD1696"/>
    <w:rsid w:val="00DD3691"/>
    <w:rsid w:val="00DD61EC"/>
    <w:rsid w:val="00DD7F64"/>
    <w:rsid w:val="00DE0435"/>
    <w:rsid w:val="00DE0E8A"/>
    <w:rsid w:val="00DE0F46"/>
    <w:rsid w:val="00DE1A8C"/>
    <w:rsid w:val="00DE56B4"/>
    <w:rsid w:val="00DE6F6C"/>
    <w:rsid w:val="00DE6FBB"/>
    <w:rsid w:val="00DE7FC8"/>
    <w:rsid w:val="00DF0BE2"/>
    <w:rsid w:val="00DF0C6A"/>
    <w:rsid w:val="00DF20B3"/>
    <w:rsid w:val="00DF4217"/>
    <w:rsid w:val="00E00F53"/>
    <w:rsid w:val="00E0388B"/>
    <w:rsid w:val="00E04268"/>
    <w:rsid w:val="00E06BA9"/>
    <w:rsid w:val="00E10EA2"/>
    <w:rsid w:val="00E13AE0"/>
    <w:rsid w:val="00E145A4"/>
    <w:rsid w:val="00E157E8"/>
    <w:rsid w:val="00E15B3B"/>
    <w:rsid w:val="00E17216"/>
    <w:rsid w:val="00E20384"/>
    <w:rsid w:val="00E21006"/>
    <w:rsid w:val="00E22E3B"/>
    <w:rsid w:val="00E24A2A"/>
    <w:rsid w:val="00E24B3C"/>
    <w:rsid w:val="00E27091"/>
    <w:rsid w:val="00E27CBC"/>
    <w:rsid w:val="00E32A88"/>
    <w:rsid w:val="00E32F9F"/>
    <w:rsid w:val="00E34A8A"/>
    <w:rsid w:val="00E35CAC"/>
    <w:rsid w:val="00E362EA"/>
    <w:rsid w:val="00E36444"/>
    <w:rsid w:val="00E40E0A"/>
    <w:rsid w:val="00E415BD"/>
    <w:rsid w:val="00E42041"/>
    <w:rsid w:val="00E4593A"/>
    <w:rsid w:val="00E47D48"/>
    <w:rsid w:val="00E508AF"/>
    <w:rsid w:val="00E51D4C"/>
    <w:rsid w:val="00E544B2"/>
    <w:rsid w:val="00E54FFB"/>
    <w:rsid w:val="00E55C47"/>
    <w:rsid w:val="00E6081B"/>
    <w:rsid w:val="00E61404"/>
    <w:rsid w:val="00E6140A"/>
    <w:rsid w:val="00E61D9A"/>
    <w:rsid w:val="00E6205F"/>
    <w:rsid w:val="00E62747"/>
    <w:rsid w:val="00E63AB6"/>
    <w:rsid w:val="00E64540"/>
    <w:rsid w:val="00E671F9"/>
    <w:rsid w:val="00E71DDD"/>
    <w:rsid w:val="00E77D82"/>
    <w:rsid w:val="00E80AE3"/>
    <w:rsid w:val="00E80D68"/>
    <w:rsid w:val="00E81C1F"/>
    <w:rsid w:val="00E8289D"/>
    <w:rsid w:val="00E831EE"/>
    <w:rsid w:val="00E8384C"/>
    <w:rsid w:val="00E853FC"/>
    <w:rsid w:val="00E854C3"/>
    <w:rsid w:val="00E85C43"/>
    <w:rsid w:val="00E86202"/>
    <w:rsid w:val="00E8757D"/>
    <w:rsid w:val="00E90C84"/>
    <w:rsid w:val="00E93045"/>
    <w:rsid w:val="00E93429"/>
    <w:rsid w:val="00E93DA5"/>
    <w:rsid w:val="00E957EF"/>
    <w:rsid w:val="00E95CB4"/>
    <w:rsid w:val="00EA0AB1"/>
    <w:rsid w:val="00EA54A7"/>
    <w:rsid w:val="00EA6D02"/>
    <w:rsid w:val="00EB3503"/>
    <w:rsid w:val="00EB4B9A"/>
    <w:rsid w:val="00EB5455"/>
    <w:rsid w:val="00EB6A36"/>
    <w:rsid w:val="00EC036C"/>
    <w:rsid w:val="00EC0584"/>
    <w:rsid w:val="00EC20BA"/>
    <w:rsid w:val="00EC27F1"/>
    <w:rsid w:val="00EC27FF"/>
    <w:rsid w:val="00EC280C"/>
    <w:rsid w:val="00EC33EB"/>
    <w:rsid w:val="00EC4A9F"/>
    <w:rsid w:val="00EC732E"/>
    <w:rsid w:val="00EC75AA"/>
    <w:rsid w:val="00EC7BDE"/>
    <w:rsid w:val="00ED0B0E"/>
    <w:rsid w:val="00ED0DED"/>
    <w:rsid w:val="00ED3013"/>
    <w:rsid w:val="00ED49B6"/>
    <w:rsid w:val="00ED51F9"/>
    <w:rsid w:val="00ED5717"/>
    <w:rsid w:val="00ED5D32"/>
    <w:rsid w:val="00ED708E"/>
    <w:rsid w:val="00EE024C"/>
    <w:rsid w:val="00EE04F2"/>
    <w:rsid w:val="00EE0DA1"/>
    <w:rsid w:val="00EE31D8"/>
    <w:rsid w:val="00EE34DB"/>
    <w:rsid w:val="00EE411B"/>
    <w:rsid w:val="00EF1B77"/>
    <w:rsid w:val="00EF3EA4"/>
    <w:rsid w:val="00EF58DA"/>
    <w:rsid w:val="00EF5948"/>
    <w:rsid w:val="00EF78B6"/>
    <w:rsid w:val="00F02AFE"/>
    <w:rsid w:val="00F052D7"/>
    <w:rsid w:val="00F0532D"/>
    <w:rsid w:val="00F0561D"/>
    <w:rsid w:val="00F056CF"/>
    <w:rsid w:val="00F07296"/>
    <w:rsid w:val="00F11051"/>
    <w:rsid w:val="00F112C2"/>
    <w:rsid w:val="00F11BFD"/>
    <w:rsid w:val="00F1244B"/>
    <w:rsid w:val="00F12BC1"/>
    <w:rsid w:val="00F13FD9"/>
    <w:rsid w:val="00F14BAF"/>
    <w:rsid w:val="00F156DD"/>
    <w:rsid w:val="00F15EFD"/>
    <w:rsid w:val="00F16882"/>
    <w:rsid w:val="00F176A4"/>
    <w:rsid w:val="00F2041E"/>
    <w:rsid w:val="00F2141D"/>
    <w:rsid w:val="00F21B5C"/>
    <w:rsid w:val="00F2288B"/>
    <w:rsid w:val="00F2596D"/>
    <w:rsid w:val="00F31136"/>
    <w:rsid w:val="00F3159B"/>
    <w:rsid w:val="00F34368"/>
    <w:rsid w:val="00F360AF"/>
    <w:rsid w:val="00F367A5"/>
    <w:rsid w:val="00F40FA5"/>
    <w:rsid w:val="00F449BC"/>
    <w:rsid w:val="00F44A95"/>
    <w:rsid w:val="00F44CD9"/>
    <w:rsid w:val="00F44EDC"/>
    <w:rsid w:val="00F458E4"/>
    <w:rsid w:val="00F47B57"/>
    <w:rsid w:val="00F50920"/>
    <w:rsid w:val="00F52759"/>
    <w:rsid w:val="00F55A1D"/>
    <w:rsid w:val="00F55C12"/>
    <w:rsid w:val="00F57201"/>
    <w:rsid w:val="00F601E1"/>
    <w:rsid w:val="00F606DA"/>
    <w:rsid w:val="00F608BE"/>
    <w:rsid w:val="00F61C11"/>
    <w:rsid w:val="00F63831"/>
    <w:rsid w:val="00F63F4E"/>
    <w:rsid w:val="00F7017A"/>
    <w:rsid w:val="00F70359"/>
    <w:rsid w:val="00F710C5"/>
    <w:rsid w:val="00F71645"/>
    <w:rsid w:val="00F729E4"/>
    <w:rsid w:val="00F731BE"/>
    <w:rsid w:val="00F764B4"/>
    <w:rsid w:val="00F77700"/>
    <w:rsid w:val="00F77E8D"/>
    <w:rsid w:val="00F804D5"/>
    <w:rsid w:val="00F80514"/>
    <w:rsid w:val="00F82436"/>
    <w:rsid w:val="00F82AB7"/>
    <w:rsid w:val="00F85053"/>
    <w:rsid w:val="00F86C7B"/>
    <w:rsid w:val="00F874E7"/>
    <w:rsid w:val="00F87662"/>
    <w:rsid w:val="00F92F95"/>
    <w:rsid w:val="00F93082"/>
    <w:rsid w:val="00F958A5"/>
    <w:rsid w:val="00F96593"/>
    <w:rsid w:val="00F96D27"/>
    <w:rsid w:val="00F975A4"/>
    <w:rsid w:val="00F97B61"/>
    <w:rsid w:val="00FA13E4"/>
    <w:rsid w:val="00FA14C2"/>
    <w:rsid w:val="00FA392F"/>
    <w:rsid w:val="00FA3EE3"/>
    <w:rsid w:val="00FA59CE"/>
    <w:rsid w:val="00FA6714"/>
    <w:rsid w:val="00FA6BB5"/>
    <w:rsid w:val="00FA7B79"/>
    <w:rsid w:val="00FB1332"/>
    <w:rsid w:val="00FB20EE"/>
    <w:rsid w:val="00FB2F48"/>
    <w:rsid w:val="00FB5247"/>
    <w:rsid w:val="00FB55ED"/>
    <w:rsid w:val="00FB6281"/>
    <w:rsid w:val="00FB685B"/>
    <w:rsid w:val="00FB7901"/>
    <w:rsid w:val="00FC0242"/>
    <w:rsid w:val="00FC32E0"/>
    <w:rsid w:val="00FC3CDB"/>
    <w:rsid w:val="00FE00A2"/>
    <w:rsid w:val="00FE29B2"/>
    <w:rsid w:val="00FE4ABD"/>
    <w:rsid w:val="00FE52A7"/>
    <w:rsid w:val="00FE5726"/>
    <w:rsid w:val="00FE5CC2"/>
    <w:rsid w:val="00FF294D"/>
    <w:rsid w:val="00FF5041"/>
    <w:rsid w:val="00FF7290"/>
    <w:rsid w:val="00FF7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EBAD4F"/>
  <w14:defaultImageDpi w14:val="300"/>
  <w15:docId w15:val="{57C71368-E4B2-A345-98BA-A1E8C320BD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71B87"/>
    <w:pPr>
      <w:overflowPunct w:val="0"/>
      <w:autoSpaceDE w:val="0"/>
      <w:autoSpaceDN w:val="0"/>
      <w:adjustRightInd w:val="0"/>
      <w:spacing w:line="360" w:lineRule="auto"/>
      <w:jc w:val="both"/>
      <w:textAlignment w:val="baseline"/>
    </w:pPr>
    <w:rPr>
      <w:rFonts w:ascii="Arial" w:hAnsi="Arial"/>
      <w:sz w:val="24"/>
      <w:lang w:eastAsia="de-DE"/>
    </w:rPr>
  </w:style>
  <w:style w:type="paragraph" w:styleId="Heading1">
    <w:name w:val="heading 1"/>
    <w:basedOn w:val="Normal"/>
    <w:next w:val="Normal"/>
    <w:link w:val="Heading1Char"/>
    <w:qFormat/>
    <w:rsid w:val="0081672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paragraph" w:customStyle="1" w:styleId="abbreviations">
    <w:name w:val="abbreviations"/>
    <w:basedOn w:val="abstract"/>
    <w:next w:val="Normal"/>
    <w:pPr>
      <w:tabs>
        <w:tab w:val="left" w:pos="3402"/>
      </w:tabs>
      <w:ind w:left="3402" w:hanging="3402"/>
    </w:pPr>
  </w:style>
  <w:style w:type="paragraph" w:customStyle="1" w:styleId="1">
    <w:name w:val="标题1"/>
    <w:basedOn w:val="Normal"/>
    <w:next w:val="author"/>
    <w:rPr>
      <w:b/>
      <w:sz w:val="36"/>
    </w:rPr>
  </w:style>
  <w:style w:type="paragraph" w:customStyle="1" w:styleId="heading10">
    <w:name w:val="heading1"/>
    <w:basedOn w:val="Normal"/>
    <w:next w:val="Normal"/>
    <w:pPr>
      <w:keepNext/>
      <w:spacing w:before="240" w:after="180"/>
    </w:pPr>
    <w:rPr>
      <w:b/>
      <w:sz w:val="32"/>
    </w:rPr>
  </w:style>
  <w:style w:type="paragraph" w:customStyle="1" w:styleId="heading2">
    <w:name w:val="heading2"/>
    <w:basedOn w:val="Normal"/>
    <w:next w:val="Normal"/>
    <w:pPr>
      <w:keepNext/>
      <w:spacing w:before="240" w:after="180"/>
    </w:pPr>
    <w:rPr>
      <w:b/>
    </w:rPr>
  </w:style>
  <w:style w:type="paragraph" w:customStyle="1" w:styleId="heading3">
    <w:name w:val="heading3"/>
    <w:basedOn w:val="Normal"/>
    <w:next w:val="Normal"/>
    <w:pPr>
      <w:keepNext/>
      <w:spacing w:before="240" w:after="180"/>
    </w:pPr>
    <w:rPr>
      <w:i/>
    </w:rPr>
  </w:style>
  <w:style w:type="paragraph" w:customStyle="1" w:styleId="run-in">
    <w:name w:val="run-in"/>
    <w:basedOn w:val="Normal"/>
    <w:next w:val="Normal"/>
    <w:pPr>
      <w:keepNext/>
      <w:spacing w:before="120"/>
    </w:pPr>
    <w:rPr>
      <w:b/>
    </w:rPr>
  </w:style>
  <w:style w:type="character" w:styleId="Hyperlink">
    <w:name w:val="Hyperlink"/>
    <w:basedOn w:val="DefaultParagraphFont"/>
    <w:rsid w:val="00626306"/>
    <w:rPr>
      <w:color w:val="0000FF" w:themeColor="hyperlink"/>
      <w:u w:val="single"/>
    </w:rPr>
  </w:style>
  <w:style w:type="paragraph" w:customStyle="1" w:styleId="figurecitation">
    <w:name w:val="figurecitation"/>
    <w:basedOn w:val="Normal"/>
    <w:pPr>
      <w:pBdr>
        <w:top w:val="single" w:sz="8" w:space="1" w:color="auto"/>
        <w:left w:val="single" w:sz="8" w:space="4" w:color="auto"/>
        <w:bottom w:val="single" w:sz="8" w:space="1" w:color="auto"/>
        <w:right w:val="single" w:sz="8" w:space="4" w:color="auto"/>
      </w:pBdr>
    </w:pPr>
    <w:rPr>
      <w:b/>
      <w:sz w:val="36"/>
    </w:rPr>
  </w:style>
  <w:style w:type="paragraph" w:customStyle="1" w:styleId="acknowledgements">
    <w:name w:val="acknowledgements"/>
    <w:basedOn w:val="abstract"/>
    <w:next w:val="Normal"/>
    <w:pPr>
      <w:spacing w:before="240"/>
    </w:pPr>
  </w:style>
  <w:style w:type="paragraph" w:customStyle="1" w:styleId="author">
    <w:name w:val="author"/>
    <w:basedOn w:val="Normal"/>
    <w:next w:val="affiliation"/>
    <w:pPr>
      <w:spacing w:before="120"/>
    </w:pPr>
  </w:style>
  <w:style w:type="paragraph" w:customStyle="1" w:styleId="affiliation">
    <w:name w:val="affiliation"/>
    <w:basedOn w:val="Normal"/>
    <w:next w:val="phone"/>
    <w:pPr>
      <w:spacing w:before="120" w:line="240" w:lineRule="auto"/>
    </w:pPr>
    <w:rPr>
      <w:i/>
    </w:rPr>
  </w:style>
  <w:style w:type="paragraph" w:customStyle="1" w:styleId="email">
    <w:name w:val="email"/>
    <w:basedOn w:val="Normal"/>
    <w:next w:val="url"/>
    <w:pPr>
      <w:spacing w:before="120" w:line="240" w:lineRule="auto"/>
    </w:pPr>
    <w:rPr>
      <w:sz w:val="20"/>
    </w:rPr>
  </w:style>
  <w:style w:type="paragraph" w:customStyle="1" w:styleId="phone">
    <w:name w:val="phone"/>
    <w:basedOn w:val="email"/>
    <w:next w:val="fax"/>
  </w:style>
  <w:style w:type="paragraph" w:customStyle="1" w:styleId="fax">
    <w:name w:val="fax"/>
    <w:basedOn w:val="email"/>
    <w:next w:val="email"/>
  </w:style>
  <w:style w:type="paragraph" w:customStyle="1" w:styleId="abstract">
    <w:name w:val="abstract"/>
    <w:basedOn w:val="Normal"/>
    <w:next w:val="keywords"/>
    <w:pPr>
      <w:spacing w:before="120"/>
    </w:pPr>
    <w:rPr>
      <w:sz w:val="20"/>
    </w:rPr>
  </w:style>
  <w:style w:type="paragraph" w:customStyle="1" w:styleId="keywords">
    <w:name w:val="keywords"/>
    <w:basedOn w:val="Normal"/>
    <w:next w:val="Normal"/>
    <w:pPr>
      <w:spacing w:before="120"/>
    </w:pPr>
    <w:rPr>
      <w:i/>
    </w:rPr>
  </w:style>
  <w:style w:type="paragraph" w:customStyle="1" w:styleId="extraaddress">
    <w:name w:val="extraaddress"/>
    <w:basedOn w:val="email"/>
  </w:style>
  <w:style w:type="paragraph" w:customStyle="1" w:styleId="reference">
    <w:name w:val="reference"/>
    <w:basedOn w:val="Normal"/>
    <w:rPr>
      <w:sz w:val="20"/>
    </w:rPr>
  </w:style>
  <w:style w:type="paragraph" w:customStyle="1" w:styleId="equation">
    <w:name w:val="equation"/>
    <w:basedOn w:val="Normal"/>
    <w:next w:val="Normal"/>
    <w:pPr>
      <w:spacing w:before="120" w:after="120"/>
      <w:jc w:val="center"/>
    </w:pPr>
  </w:style>
  <w:style w:type="paragraph" w:customStyle="1" w:styleId="articlenote">
    <w:name w:val="articlenote"/>
    <w:basedOn w:val="Normal"/>
    <w:next w:val="Normal"/>
    <w:pPr>
      <w:spacing w:line="240" w:lineRule="auto"/>
    </w:pPr>
    <w:rPr>
      <w:sz w:val="22"/>
    </w:rPr>
  </w:style>
  <w:style w:type="paragraph" w:customStyle="1" w:styleId="figlegend">
    <w:name w:val="figlegend"/>
    <w:basedOn w:val="Normal"/>
    <w:next w:val="Normal"/>
    <w:pPr>
      <w:spacing w:before="120"/>
    </w:pPr>
    <w:rPr>
      <w:sz w:val="20"/>
    </w:rPr>
  </w:style>
  <w:style w:type="paragraph" w:customStyle="1" w:styleId="tablelegend">
    <w:name w:val="tablelegend"/>
    <w:basedOn w:val="Normal"/>
    <w:next w:val="Normal"/>
    <w:pPr>
      <w:spacing w:before="120"/>
    </w:pPr>
    <w:rPr>
      <w:sz w:val="20"/>
    </w:rPr>
  </w:style>
  <w:style w:type="character" w:customStyle="1" w:styleId="Heading1Char">
    <w:name w:val="Heading 1 Char"/>
    <w:basedOn w:val="DefaultParagraphFont"/>
    <w:link w:val="Heading1"/>
    <w:rsid w:val="0081672E"/>
    <w:rPr>
      <w:rFonts w:asciiTheme="majorHAnsi" w:eastAsiaTheme="majorEastAsia" w:hAnsiTheme="majorHAnsi" w:cstheme="majorBidi"/>
      <w:b/>
      <w:bCs/>
      <w:color w:val="345A8A" w:themeColor="accent1" w:themeShade="B5"/>
      <w:sz w:val="32"/>
      <w:szCs w:val="32"/>
      <w:lang w:eastAsia="de-DE"/>
    </w:rPr>
  </w:style>
  <w:style w:type="paragraph" w:customStyle="1" w:styleId="url">
    <w:name w:val="url"/>
    <w:basedOn w:val="email"/>
    <w:next w:val="Normal"/>
  </w:style>
  <w:style w:type="character" w:styleId="LineNumber">
    <w:name w:val="line number"/>
    <w:basedOn w:val="DefaultParagraphFont"/>
    <w:rsid w:val="0081672E"/>
  </w:style>
  <w:style w:type="character" w:styleId="PlaceholderText">
    <w:name w:val="Placeholder Text"/>
    <w:basedOn w:val="DefaultParagraphFont"/>
    <w:uiPriority w:val="99"/>
    <w:semiHidden/>
    <w:rsid w:val="00C87D5A"/>
    <w:rPr>
      <w:color w:val="808080"/>
    </w:rPr>
  </w:style>
  <w:style w:type="paragraph" w:styleId="BalloonText">
    <w:name w:val="Balloon Text"/>
    <w:basedOn w:val="Normal"/>
    <w:link w:val="BalloonTextChar"/>
    <w:rsid w:val="00C87D5A"/>
    <w:pPr>
      <w:spacing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C87D5A"/>
    <w:rPr>
      <w:rFonts w:ascii="Lucida Grande" w:hAnsi="Lucida Grande" w:cs="Lucida Grande"/>
      <w:sz w:val="18"/>
      <w:szCs w:val="18"/>
      <w:lang w:eastAsia="de-DE"/>
    </w:rPr>
  </w:style>
  <w:style w:type="paragraph" w:styleId="ListParagraph">
    <w:name w:val="List Paragraph"/>
    <w:basedOn w:val="Normal"/>
    <w:uiPriority w:val="34"/>
    <w:qFormat/>
    <w:rsid w:val="007A3F62"/>
    <w:pPr>
      <w:ind w:left="720"/>
      <w:contextualSpacing/>
    </w:pPr>
  </w:style>
  <w:style w:type="paragraph" w:styleId="Caption">
    <w:name w:val="caption"/>
    <w:basedOn w:val="Normal"/>
    <w:next w:val="Normal"/>
    <w:unhideWhenUsed/>
    <w:qFormat/>
    <w:rsid w:val="00E6205F"/>
    <w:pPr>
      <w:spacing w:after="200" w:line="240" w:lineRule="auto"/>
    </w:pPr>
    <w:rPr>
      <w:b/>
      <w:bCs/>
      <w:color w:val="4F81BD" w:themeColor="accent1"/>
      <w:sz w:val="18"/>
      <w:szCs w:val="18"/>
    </w:rPr>
  </w:style>
  <w:style w:type="character" w:styleId="CommentReference">
    <w:name w:val="annotation reference"/>
    <w:basedOn w:val="DefaultParagraphFont"/>
    <w:rsid w:val="00981A1C"/>
    <w:rPr>
      <w:sz w:val="18"/>
      <w:szCs w:val="18"/>
    </w:rPr>
  </w:style>
  <w:style w:type="paragraph" w:styleId="CommentText">
    <w:name w:val="annotation text"/>
    <w:basedOn w:val="Normal"/>
    <w:link w:val="CommentTextChar"/>
    <w:rsid w:val="00D54CE0"/>
    <w:pPr>
      <w:spacing w:line="240" w:lineRule="auto"/>
    </w:pPr>
    <w:rPr>
      <w:rFonts w:eastAsia="Times New Roman"/>
      <w:szCs w:val="24"/>
    </w:rPr>
  </w:style>
  <w:style w:type="character" w:customStyle="1" w:styleId="CommentTextChar">
    <w:name w:val="Comment Text Char"/>
    <w:basedOn w:val="DefaultParagraphFont"/>
    <w:link w:val="CommentText"/>
    <w:rsid w:val="00981A1C"/>
    <w:rPr>
      <w:rFonts w:ascii="Arial" w:eastAsia="Times New Roman" w:hAnsi="Arial"/>
      <w:sz w:val="24"/>
      <w:szCs w:val="24"/>
      <w:lang w:eastAsia="de-DE"/>
    </w:rPr>
  </w:style>
  <w:style w:type="paragraph" w:styleId="CommentSubject">
    <w:name w:val="annotation subject"/>
    <w:basedOn w:val="CommentText"/>
    <w:next w:val="CommentText"/>
    <w:link w:val="CommentSubjectChar"/>
    <w:rsid w:val="00981A1C"/>
    <w:rPr>
      <w:b/>
      <w:bCs/>
      <w:sz w:val="20"/>
      <w:szCs w:val="20"/>
    </w:rPr>
  </w:style>
  <w:style w:type="character" w:customStyle="1" w:styleId="CommentSubjectChar">
    <w:name w:val="Comment Subject Char"/>
    <w:basedOn w:val="CommentTextChar"/>
    <w:link w:val="CommentSubject"/>
    <w:rsid w:val="00981A1C"/>
    <w:rPr>
      <w:rFonts w:ascii="Arial" w:eastAsia="Times New Roman" w:hAnsi="Arial"/>
      <w:b/>
      <w:bCs/>
      <w:sz w:val="24"/>
      <w:szCs w:val="24"/>
      <w:lang w:eastAsia="de-DE"/>
    </w:rPr>
  </w:style>
  <w:style w:type="paragraph" w:styleId="Revision">
    <w:name w:val="Revision"/>
    <w:hidden/>
    <w:uiPriority w:val="99"/>
    <w:semiHidden/>
    <w:rsid w:val="00103213"/>
    <w:rPr>
      <w:sz w:val="24"/>
      <w:lang w:eastAsia="de-DE"/>
    </w:rPr>
  </w:style>
  <w:style w:type="paragraph" w:customStyle="1" w:styleId="Title1">
    <w:name w:val="Title1"/>
    <w:basedOn w:val="Normal"/>
    <w:next w:val="author"/>
    <w:rsid w:val="00EC0584"/>
    <w:rPr>
      <w:rFonts w:eastAsia="Times New Roman"/>
      <w:b/>
      <w:sz w:val="36"/>
    </w:rPr>
  </w:style>
  <w:style w:type="table" w:styleId="TableGrid">
    <w:name w:val="Table Grid"/>
    <w:basedOn w:val="TableNormal"/>
    <w:uiPriority w:val="39"/>
    <w:rsid w:val="00532A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528892">
      <w:bodyDiv w:val="1"/>
      <w:marLeft w:val="0"/>
      <w:marRight w:val="0"/>
      <w:marTop w:val="0"/>
      <w:marBottom w:val="0"/>
      <w:divBdr>
        <w:top w:val="none" w:sz="0" w:space="0" w:color="auto"/>
        <w:left w:val="none" w:sz="0" w:space="0" w:color="auto"/>
        <w:bottom w:val="none" w:sz="0" w:space="0" w:color="auto"/>
        <w:right w:val="none" w:sz="0" w:space="0" w:color="auto"/>
      </w:divBdr>
    </w:div>
    <w:div w:id="839080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mailto:pvlachos@purdu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1A854-A6F7-5F4C-AAB0-B5A215A45781}">
  <ds:schemaRefs>
    <ds:schemaRef ds:uri="http://schemas.openxmlformats.org/officeDocument/2006/bibliography"/>
  </ds:schemaRefs>
</ds:datastoreItem>
</file>

<file path=customXml/itemProps2.xml><?xml version="1.0" encoding="utf-8"?>
<ds:datastoreItem xmlns:ds="http://schemas.openxmlformats.org/officeDocument/2006/customXml" ds:itemID="{D8D577D6-293B-5C4D-8B51-A64C470E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13</Pages>
  <Words>11929</Words>
  <Characters>67998</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Author template for journal articles</vt:lpstr>
    </vt:vector>
  </TitlesOfParts>
  <Company>SPRINGER VERLAG</Company>
  <LinksUpToDate>false</LinksUpToDate>
  <CharactersWithSpaces>79768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Author template for journal articles</dc:title>
  <dc:subject/>
  <dc:creator>Brindise, Melissa C</dc:creator>
  <cp:keywords/>
  <dc:description>Springer Heidelberg 2005</dc:description>
  <cp:lastModifiedBy>Melissa C Brindise</cp:lastModifiedBy>
  <cp:revision>40</cp:revision>
  <cp:lastPrinted>1997-08-25T21:11:00Z</cp:lastPrinted>
  <dcterms:created xsi:type="dcterms:W3CDTF">2018-09-30T14:45:00Z</dcterms:created>
  <dcterms:modified xsi:type="dcterms:W3CDTF">2018-10-23T05:05:00Z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Recent Style Id 0_1">
    <vt:lpwstr>http://www.zotero.org/styles/american-political-science-association</vt:lpwstr>
  </property>
  <property fmtid="{D5CDD505-2E9C-101B-9397-08002B2CF9AE}" pid="4" name="Mendeley Recent Style Name 0_1">
    <vt:lpwstr>American Political Science Association</vt:lpwstr>
  </property>
  <property fmtid="{D5CDD505-2E9C-101B-9397-08002B2CF9AE}" pid="5" name="Mendeley Recent Style Id 1_1">
    <vt:lpwstr>http://www.zotero.org/styles/apa</vt:lpwstr>
  </property>
  <property fmtid="{D5CDD505-2E9C-101B-9397-08002B2CF9AE}" pid="6" name="Mendeley Recent Style Name 1_1">
    <vt:lpwstr>American Psychological Association 6th edition</vt:lpwstr>
  </property>
  <property fmtid="{D5CDD505-2E9C-101B-9397-08002B2CF9AE}" pid="7" name="Mendeley Recent Style Id 2_1">
    <vt:lpwstr>http://www.zotero.org/styles/american-sociological-association</vt:lpwstr>
  </property>
  <property fmtid="{D5CDD505-2E9C-101B-9397-08002B2CF9AE}" pid="8" name="Mendeley Recent Style Name 2_1">
    <vt:lpwstr>American Sociological Association</vt:lpwstr>
  </property>
  <property fmtid="{D5CDD505-2E9C-101B-9397-08002B2CF9AE}" pid="9" name="Mendeley Recent Style Id 3_1">
    <vt:lpwstr>http://www.zotero.org/styles/annals-of-biomedical-engineering</vt:lpwstr>
  </property>
  <property fmtid="{D5CDD505-2E9C-101B-9397-08002B2CF9AE}" pid="10" name="Mendeley Recent Style Name 3_1">
    <vt:lpwstr>Annals of Biomedical Engineering</vt:lpwstr>
  </property>
  <property fmtid="{D5CDD505-2E9C-101B-9397-08002B2CF9AE}" pid="11" name="Mendeley Recent Style Id 4_1">
    <vt:lpwstr>http://www.zotero.org/styles/chicago-author-date</vt:lpwstr>
  </property>
  <property fmtid="{D5CDD505-2E9C-101B-9397-08002B2CF9AE}" pid="12" name="Mendeley Recent Style Name 4_1">
    <vt:lpwstr>Chicago Manual of Style 16th edition (author-date)</vt:lpwstr>
  </property>
  <property fmtid="{D5CDD505-2E9C-101B-9397-08002B2CF9AE}" pid="13" name="Mendeley Recent Style Id 5_1">
    <vt:lpwstr>http://www.zotero.org/styles/experiments-in-fluids</vt:lpwstr>
  </property>
  <property fmtid="{D5CDD505-2E9C-101B-9397-08002B2CF9AE}" pid="14" name="Mendeley Recent Style Name 5_1">
    <vt:lpwstr>Experiments in Fluids</vt:lpwstr>
  </property>
  <property fmtid="{D5CDD505-2E9C-101B-9397-08002B2CF9AE}" pid="15" name="Mendeley Recent Style Id 6_1">
    <vt:lpwstr>http://www.zotero.org/styles/ieee</vt:lpwstr>
  </property>
  <property fmtid="{D5CDD505-2E9C-101B-9397-08002B2CF9AE}" pid="16" name="Mendeley Recent Style Name 6_1">
    <vt:lpwstr>IEEE</vt:lpwstr>
  </property>
  <property fmtid="{D5CDD505-2E9C-101B-9397-08002B2CF9AE}" pid="17" name="Mendeley Recent Style Id 7_1">
    <vt:lpwstr>http://www.zotero.org/styles/modern-humanities-research-association</vt:lpwstr>
  </property>
  <property fmtid="{D5CDD505-2E9C-101B-9397-08002B2CF9AE}" pid="18" name="Mendeley Recent Style Name 7_1">
    <vt:lpwstr>Modern Humanities Research Association 3rd edition (note with bibliography)</vt:lpwstr>
  </property>
  <property fmtid="{D5CDD505-2E9C-101B-9397-08002B2CF9AE}" pid="19" name="Mendeley Recent Style Id 8_1">
    <vt:lpwstr>http://www.zotero.org/styles/nature</vt:lpwstr>
  </property>
  <property fmtid="{D5CDD505-2E9C-101B-9397-08002B2CF9AE}" pid="20" name="Mendeley Recent Style Name 8_1">
    <vt:lpwstr>Nature</vt:lpwstr>
  </property>
  <property fmtid="{D5CDD505-2E9C-101B-9397-08002B2CF9AE}" pid="21" name="Mendeley Recent Style Id 9_1">
    <vt:lpwstr>http://www.zotero.org/styles/stroke</vt:lpwstr>
  </property>
  <property fmtid="{D5CDD505-2E9C-101B-9397-08002B2CF9AE}" pid="22" name="Mendeley Recent Style Name 9_1">
    <vt:lpwstr>Stroke</vt:lpwstr>
  </property>
  <property fmtid="{D5CDD505-2E9C-101B-9397-08002B2CF9AE}" pid="23" name="Mendeley Unique User Id_1">
    <vt:lpwstr>e9f93864-b759-3c28-b6e4-b95cd11abe3f</vt:lpwstr>
  </property>
  <property fmtid="{D5CDD505-2E9C-101B-9397-08002B2CF9AE}" pid="24" name="Mendeley Citation Style_1">
    <vt:lpwstr>http://www.zotero.org/styles/experiments-in-fluids</vt:lpwstr>
  </property>
</Properties>
</file>